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063A8">
      <w:pPr>
        <w:pStyle w:val="2"/>
        <w:jc w:val="center"/>
        <w:rPr>
          <w:sz w:val="26"/>
          <w:szCs w:val="26"/>
        </w:rPr>
      </w:pPr>
    </w:p>
    <w:p w14:paraId="21120754">
      <w:pPr>
        <w:pStyle w:val="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ЦЕНТРАЛЬНО-АЗИАТСКИЙ УНИВЕРСИТАРИУМ СТРАТЕГА — 2026, </w:t>
      </w:r>
    </w:p>
    <w:p w14:paraId="0B8F3FC2">
      <w:pPr>
        <w:pStyle w:val="2"/>
        <w:jc w:val="center"/>
        <w:rPr>
          <w:b w:val="0"/>
          <w:i/>
          <w:sz w:val="26"/>
          <w:szCs w:val="26"/>
        </w:rPr>
      </w:pPr>
      <w:r>
        <w:rPr>
          <w:b w:val="0"/>
          <w:i/>
          <w:sz w:val="26"/>
          <w:szCs w:val="26"/>
        </w:rPr>
        <w:t>посвящённый памяти выдающегося учёного, академика Б.С. Юлдашева, президента Академии наук Республики Узбекистан</w:t>
      </w:r>
    </w:p>
    <w:p w14:paraId="7615F076">
      <w:pPr>
        <w:pStyle w:val="7"/>
        <w:spacing w:before="20"/>
        <w:rPr>
          <w:sz w:val="26"/>
          <w:szCs w:val="26"/>
        </w:rPr>
      </w:pPr>
    </w:p>
    <w:p w14:paraId="6F9BF7A7">
      <w:pPr>
        <w:pStyle w:val="2"/>
        <w:jc w:val="left"/>
        <w:rPr>
          <w:b w:val="0"/>
          <w:sz w:val="26"/>
          <w:szCs w:val="26"/>
        </w:rPr>
      </w:pPr>
      <w:r>
        <w:rPr>
          <w:sz w:val="26"/>
          <w:szCs w:val="26"/>
        </w:rPr>
        <w:t>Бехзод Садыкович Юлдашев (1945–2024)</w:t>
      </w:r>
      <w:r>
        <w:rPr>
          <w:b w:val="0"/>
          <w:sz w:val="26"/>
          <w:szCs w:val="26"/>
        </w:rPr>
        <w:t xml:space="preserve"> — доктор физико-математических наук, профессор, академик Академии наук Республики Узбекистан, президент Академии наук Республики Узбекистан (2000-2005 гг, 2017-2024</w:t>
      </w:r>
      <w:r>
        <w:rPr>
          <w:rFonts w:hint="default"/>
          <w:b w:val="0"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</w:rPr>
        <w:t>гг). Иностранный член Российской академии наук и Национальной академии наук Казахстана.</w:t>
      </w:r>
    </w:p>
    <w:p w14:paraId="63B65FEC">
      <w:pPr>
        <w:pStyle w:val="7"/>
        <w:tabs>
          <w:tab w:val="left" w:pos="7200"/>
        </w:tabs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tab/>
      </w:r>
    </w:p>
    <w:p w14:paraId="24C5669B">
      <w:pPr>
        <w:pStyle w:val="7"/>
        <w:spacing w:before="209"/>
        <w:rPr>
          <w:sz w:val="20"/>
        </w:rPr>
      </w:pPr>
    </w:p>
    <w:tbl>
      <w:tblPr>
        <w:tblStyle w:val="9"/>
        <w:tblW w:w="0" w:type="auto"/>
        <w:tblInd w:w="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3"/>
        <w:gridCol w:w="10523"/>
        <w:gridCol w:w="1372"/>
      </w:tblGrid>
      <w:tr w14:paraId="5E6E4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373" w:type="dxa"/>
            <w:tcBorders>
              <w:bottom w:val="nil"/>
            </w:tcBorders>
          </w:tcPr>
          <w:p w14:paraId="04B5073A">
            <w:pPr>
              <w:pStyle w:val="11"/>
            </w:pPr>
          </w:p>
        </w:tc>
        <w:tc>
          <w:tcPr>
            <w:tcW w:w="10523" w:type="dxa"/>
          </w:tcPr>
          <w:p w14:paraId="0B0A8DDE">
            <w:pPr>
              <w:pStyle w:val="11"/>
              <w:spacing w:before="6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сессии:</w:t>
            </w:r>
          </w:p>
        </w:tc>
        <w:tc>
          <w:tcPr>
            <w:tcW w:w="1372" w:type="dxa"/>
          </w:tcPr>
          <w:p w14:paraId="3A05CAA7">
            <w:pPr>
              <w:pStyle w:val="11"/>
              <w:spacing w:before="8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10:00-</w:t>
            </w:r>
            <w:r>
              <w:rPr>
                <w:b/>
                <w:spacing w:val="-2"/>
                <w:sz w:val="20"/>
              </w:rPr>
              <w:t>10:10</w:t>
            </w:r>
          </w:p>
        </w:tc>
      </w:tr>
      <w:tr w14:paraId="31604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373" w:type="dxa"/>
            <w:tcBorders>
              <w:top w:val="nil"/>
              <w:bottom w:val="nil"/>
            </w:tcBorders>
          </w:tcPr>
          <w:p w14:paraId="43FECA45">
            <w:pPr>
              <w:pStyle w:val="11"/>
              <w:spacing w:before="271"/>
              <w:rPr>
                <w:sz w:val="24"/>
              </w:rPr>
            </w:pPr>
          </w:p>
          <w:p w14:paraId="7438AFB7">
            <w:pPr>
              <w:pStyle w:val="11"/>
              <w:tabs>
                <w:tab w:val="left" w:pos="535"/>
              </w:tabs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color w:val="002060"/>
                <w:sz w:val="24"/>
                <w:u w:val="single"/>
              </w:rPr>
              <w:t>04 ноября 2026 г.</w:t>
            </w:r>
          </w:p>
        </w:tc>
        <w:tc>
          <w:tcPr>
            <w:tcW w:w="10523" w:type="dxa"/>
            <w:vMerge w:val="restart"/>
          </w:tcPr>
          <w:p w14:paraId="0A80800C">
            <w:pPr>
              <w:pStyle w:val="11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Пленарное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Центрально-Азиатского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региона»:</w:t>
            </w:r>
          </w:p>
          <w:p w14:paraId="77EA84A9">
            <w:pPr>
              <w:pStyle w:val="11"/>
              <w:numPr>
                <w:ilvl w:val="0"/>
                <w:numId w:val="1"/>
              </w:numPr>
              <w:tabs>
                <w:tab w:val="left" w:pos="534"/>
              </w:tabs>
              <w:spacing w:before="2"/>
              <w:ind w:left="534" w:hanging="283"/>
              <w:rPr>
                <w:sz w:val="24"/>
              </w:rPr>
            </w:pPr>
            <w:r>
              <w:rPr>
                <w:sz w:val="24"/>
              </w:rPr>
              <w:t>Приветственные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гостей;</w:t>
            </w:r>
          </w:p>
          <w:p w14:paraId="013BCF9C">
            <w:pPr>
              <w:pStyle w:val="11"/>
              <w:numPr>
                <w:ilvl w:val="0"/>
                <w:numId w:val="1"/>
              </w:numPr>
              <w:tabs>
                <w:tab w:val="left" w:pos="534"/>
              </w:tabs>
              <w:spacing w:before="3" w:line="291" w:lineRule="exact"/>
              <w:ind w:left="534" w:hanging="283"/>
              <w:rPr>
                <w:b/>
                <w:sz w:val="24"/>
              </w:rPr>
            </w:pPr>
            <w:r>
              <w:rPr>
                <w:b/>
                <w:sz w:val="24"/>
              </w:rPr>
              <w:t>Доклад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В.Л. </w:t>
            </w:r>
            <w:r>
              <w:rPr>
                <w:b/>
                <w:spacing w:val="-2"/>
                <w:sz w:val="24"/>
              </w:rPr>
              <w:t>Квинта</w:t>
            </w:r>
          </w:p>
          <w:p w14:paraId="015DFE52">
            <w:pPr>
              <w:pStyle w:val="11"/>
              <w:numPr>
                <w:ilvl w:val="0"/>
                <w:numId w:val="1"/>
              </w:numPr>
              <w:tabs>
                <w:tab w:val="left" w:pos="534"/>
              </w:tabs>
              <w:spacing w:line="291" w:lineRule="exact"/>
              <w:ind w:left="534" w:hanging="283"/>
              <w:rPr>
                <w:sz w:val="24"/>
              </w:rPr>
            </w:pPr>
            <w:r>
              <w:rPr>
                <w:sz w:val="24"/>
              </w:rPr>
              <w:t>Пленарные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доклады </w:t>
            </w:r>
            <w:r>
              <w:rPr>
                <w:spacing w:val="-2"/>
                <w:sz w:val="24"/>
              </w:rPr>
              <w:t>участников;</w:t>
            </w:r>
          </w:p>
          <w:p w14:paraId="47D79764">
            <w:pPr>
              <w:pStyle w:val="11"/>
              <w:numPr>
                <w:ilvl w:val="0"/>
                <w:numId w:val="1"/>
              </w:numPr>
              <w:tabs>
                <w:tab w:val="left" w:pos="534"/>
              </w:tabs>
              <w:spacing w:before="7" w:line="235" w:lineRule="auto"/>
              <w:ind w:right="60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книг </w:t>
            </w:r>
            <w:r>
              <w:rPr>
                <w:sz w:val="24"/>
              </w:rPr>
              <w:t>"Библиотека Стратега", Библиотека "Стратегия Кузбасса", Библиотека "Стратегия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стратегия"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журналов</w:t>
            </w:r>
          </w:p>
          <w:p w14:paraId="46A98D8D">
            <w:pPr>
              <w:pStyle w:val="11"/>
              <w:spacing w:before="2" w:line="263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кафедры</w:t>
            </w:r>
          </w:p>
        </w:tc>
        <w:tc>
          <w:tcPr>
            <w:tcW w:w="1372" w:type="dxa"/>
            <w:tcBorders>
              <w:bottom w:val="nil"/>
            </w:tcBorders>
          </w:tcPr>
          <w:p w14:paraId="339D00E7">
            <w:pPr>
              <w:pStyle w:val="11"/>
              <w:jc w:val="center"/>
            </w:pPr>
          </w:p>
        </w:tc>
      </w:tr>
      <w:tr w14:paraId="4A762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3373" w:type="dxa"/>
            <w:tcBorders>
              <w:top w:val="nil"/>
              <w:bottom w:val="nil"/>
            </w:tcBorders>
          </w:tcPr>
          <w:p w14:paraId="4CC39A66">
            <w:pPr>
              <w:pStyle w:val="11"/>
              <w:spacing w:before="23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(Национальный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университет Узбекистан имени Мирзо Улугбека, Ташкент)</w:t>
            </w:r>
          </w:p>
        </w:tc>
        <w:tc>
          <w:tcPr>
            <w:tcW w:w="10523" w:type="dxa"/>
            <w:vMerge w:val="continue"/>
            <w:tcBorders>
              <w:top w:val="nil"/>
            </w:tcBorders>
          </w:tcPr>
          <w:p w14:paraId="1ADAD6A7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tcBorders>
              <w:top w:val="nil"/>
            </w:tcBorders>
          </w:tcPr>
          <w:p w14:paraId="6257653A">
            <w:pPr>
              <w:pStyle w:val="11"/>
              <w:spacing w:before="2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10:10-</w:t>
            </w:r>
            <w:r>
              <w:rPr>
                <w:b/>
                <w:spacing w:val="-2"/>
                <w:sz w:val="20"/>
              </w:rPr>
              <w:t>12:00</w:t>
            </w:r>
          </w:p>
        </w:tc>
      </w:tr>
      <w:tr w14:paraId="6FC78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373" w:type="dxa"/>
            <w:vMerge w:val="restart"/>
            <w:tcBorders>
              <w:top w:val="nil"/>
            </w:tcBorders>
          </w:tcPr>
          <w:p w14:paraId="02F1FB11">
            <w:pPr>
              <w:pStyle w:val="11"/>
            </w:pPr>
          </w:p>
        </w:tc>
        <w:tc>
          <w:tcPr>
            <w:tcW w:w="10523" w:type="dxa"/>
          </w:tcPr>
          <w:p w14:paraId="4FAD501F">
            <w:pPr>
              <w:pStyle w:val="11"/>
              <w:spacing w:before="63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Перерыв</w:t>
            </w:r>
          </w:p>
        </w:tc>
        <w:tc>
          <w:tcPr>
            <w:tcW w:w="1372" w:type="dxa"/>
          </w:tcPr>
          <w:p w14:paraId="7CD84F7B">
            <w:pPr>
              <w:pStyle w:val="11"/>
              <w:spacing w:before="8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12:00-</w:t>
            </w:r>
            <w:r>
              <w:rPr>
                <w:b/>
                <w:spacing w:val="-2"/>
                <w:sz w:val="20"/>
              </w:rPr>
              <w:t>13:00</w:t>
            </w:r>
          </w:p>
        </w:tc>
      </w:tr>
      <w:tr w14:paraId="0BD80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73" w:type="dxa"/>
            <w:vMerge w:val="continue"/>
            <w:tcBorders>
              <w:top w:val="nil"/>
            </w:tcBorders>
          </w:tcPr>
          <w:p w14:paraId="4EF23172">
            <w:pPr>
              <w:rPr>
                <w:sz w:val="2"/>
                <w:szCs w:val="2"/>
              </w:rPr>
            </w:pPr>
          </w:p>
        </w:tc>
        <w:tc>
          <w:tcPr>
            <w:tcW w:w="10523" w:type="dxa"/>
          </w:tcPr>
          <w:p w14:paraId="56D2EC05">
            <w:pPr>
              <w:pStyle w:val="11"/>
              <w:spacing w:before="95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Секция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«Региональное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инициативы»</w:t>
            </w:r>
          </w:p>
        </w:tc>
        <w:tc>
          <w:tcPr>
            <w:tcW w:w="1372" w:type="dxa"/>
            <w:tcBorders>
              <w:bottom w:val="nil"/>
            </w:tcBorders>
          </w:tcPr>
          <w:p w14:paraId="6D715591">
            <w:pPr>
              <w:pStyle w:val="11"/>
            </w:pPr>
          </w:p>
        </w:tc>
      </w:tr>
      <w:tr w14:paraId="4DBE1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373" w:type="dxa"/>
            <w:tcBorders>
              <w:bottom w:val="nil"/>
            </w:tcBorders>
          </w:tcPr>
          <w:p w14:paraId="2E220B13">
            <w:pPr>
              <w:pStyle w:val="11"/>
              <w:spacing w:before="2"/>
              <w:rPr>
                <w:sz w:val="24"/>
              </w:rPr>
            </w:pPr>
          </w:p>
          <w:p w14:paraId="27CBDBF8">
            <w:pPr>
              <w:pStyle w:val="11"/>
              <w:spacing w:before="1"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(Green</w:t>
            </w:r>
            <w:r>
              <w:rPr>
                <w:b/>
                <w:spacing w:val="-2"/>
                <w:sz w:val="24"/>
              </w:rPr>
              <w:t xml:space="preserve"> University)</w:t>
            </w:r>
          </w:p>
        </w:tc>
        <w:tc>
          <w:tcPr>
            <w:tcW w:w="10523" w:type="dxa"/>
          </w:tcPr>
          <w:p w14:paraId="5340D89A">
            <w:pPr>
              <w:pStyle w:val="11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Секция №2</w:t>
            </w:r>
            <w:r>
              <w:rPr>
                <w:sz w:val="24"/>
              </w:rPr>
              <w:t xml:space="preserve"> «Стратегирование научно-технического потенциала экологической безопасности Центральной Азии»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413F6666">
            <w:pPr>
              <w:pStyle w:val="11"/>
              <w:spacing w:before="200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13:00-</w:t>
            </w:r>
            <w:r>
              <w:rPr>
                <w:b/>
                <w:spacing w:val="-2"/>
                <w:sz w:val="20"/>
              </w:rPr>
              <w:t>16:00</w:t>
            </w:r>
          </w:p>
        </w:tc>
      </w:tr>
      <w:tr w14:paraId="6C8ED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373" w:type="dxa"/>
            <w:tcBorders>
              <w:top w:val="nil"/>
            </w:tcBorders>
          </w:tcPr>
          <w:p w14:paraId="633210F0">
            <w:pPr>
              <w:pStyle w:val="11"/>
            </w:pPr>
          </w:p>
        </w:tc>
        <w:tc>
          <w:tcPr>
            <w:tcW w:w="10523" w:type="dxa"/>
          </w:tcPr>
          <w:p w14:paraId="4C3AF869">
            <w:pPr>
              <w:pStyle w:val="11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Секция №3</w:t>
            </w:r>
            <w:r>
              <w:rPr>
                <w:sz w:val="24"/>
              </w:rPr>
              <w:t xml:space="preserve"> «Стратегирование человеческого потенциала и экологической культуры в Центрально-Азиатском регионе»</w:t>
            </w:r>
          </w:p>
        </w:tc>
        <w:tc>
          <w:tcPr>
            <w:tcW w:w="1372" w:type="dxa"/>
            <w:tcBorders>
              <w:top w:val="nil"/>
            </w:tcBorders>
          </w:tcPr>
          <w:p w14:paraId="494BCE8C">
            <w:pPr>
              <w:pStyle w:val="11"/>
            </w:pPr>
          </w:p>
        </w:tc>
      </w:tr>
    </w:tbl>
    <w:p w14:paraId="0CB0C28F">
      <w:pPr>
        <w:pStyle w:val="11"/>
        <w:sectPr>
          <w:type w:val="continuous"/>
          <w:pgSz w:w="16840" w:h="11910" w:orient="landscape"/>
          <w:pgMar w:top="480" w:right="708" w:bottom="280" w:left="708" w:header="720" w:footer="720" w:gutter="0"/>
          <w:cols w:space="720" w:num="1"/>
        </w:sectPr>
      </w:pPr>
    </w:p>
    <w:tbl>
      <w:tblPr>
        <w:tblStyle w:val="9"/>
        <w:tblW w:w="0" w:type="auto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5"/>
        <w:gridCol w:w="10490"/>
        <w:gridCol w:w="1408"/>
      </w:tblGrid>
      <w:tr w14:paraId="5AC4C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365" w:type="dxa"/>
            <w:vMerge w:val="restart"/>
          </w:tcPr>
          <w:p w14:paraId="1D887DA9">
            <w:pPr>
              <w:pStyle w:val="11"/>
              <w:rPr>
                <w:sz w:val="24"/>
              </w:rPr>
            </w:pPr>
          </w:p>
          <w:p w14:paraId="16414A7A">
            <w:pPr>
              <w:pStyle w:val="11"/>
              <w:rPr>
                <w:sz w:val="24"/>
              </w:rPr>
            </w:pPr>
          </w:p>
          <w:p w14:paraId="13BF2C2E">
            <w:pPr>
              <w:pStyle w:val="11"/>
              <w:rPr>
                <w:sz w:val="24"/>
              </w:rPr>
            </w:pPr>
          </w:p>
          <w:p w14:paraId="00EF4117">
            <w:pPr>
              <w:pStyle w:val="11"/>
              <w:rPr>
                <w:sz w:val="24"/>
              </w:rPr>
            </w:pPr>
          </w:p>
          <w:p w14:paraId="5E0EDE55">
            <w:pPr>
              <w:pStyle w:val="11"/>
              <w:spacing w:before="27"/>
              <w:rPr>
                <w:sz w:val="24"/>
                <w:u w:val="single"/>
              </w:rPr>
            </w:pPr>
          </w:p>
          <w:p w14:paraId="2108495F">
            <w:pPr>
              <w:pStyle w:val="11"/>
              <w:tabs>
                <w:tab w:val="left" w:pos="414"/>
              </w:tabs>
              <w:ind w:right="2"/>
              <w:jc w:val="center"/>
              <w:rPr>
                <w:b/>
                <w:color w:val="002060"/>
                <w:sz w:val="24"/>
                <w:u w:val="single"/>
              </w:rPr>
            </w:pPr>
            <w:r>
              <w:rPr>
                <w:b/>
                <w:color w:val="002060"/>
                <w:sz w:val="24"/>
                <w:u w:val="single"/>
              </w:rPr>
              <w:t>05 ноября</w:t>
            </w:r>
            <w:r>
              <w:rPr>
                <w:b/>
                <w:color w:val="002060"/>
                <w:spacing w:val="3"/>
                <w:sz w:val="24"/>
                <w:u w:val="single"/>
              </w:rPr>
              <w:t xml:space="preserve"> </w:t>
            </w:r>
            <w:r>
              <w:rPr>
                <w:b/>
                <w:color w:val="002060"/>
                <w:sz w:val="24"/>
                <w:u w:val="single"/>
              </w:rPr>
              <w:t>2026</w:t>
            </w:r>
            <w:r>
              <w:rPr>
                <w:b/>
                <w:color w:val="002060"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color w:val="002060"/>
                <w:spacing w:val="-5"/>
                <w:sz w:val="24"/>
                <w:u w:val="single"/>
              </w:rPr>
              <w:t>г.</w:t>
            </w:r>
          </w:p>
          <w:p w14:paraId="4B0FB92F">
            <w:pPr>
              <w:pStyle w:val="11"/>
              <w:spacing w:before="2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(Навоийский</w:t>
            </w:r>
          </w:p>
          <w:p w14:paraId="262E02C2">
            <w:pPr>
              <w:pStyle w:val="11"/>
              <w:ind w:left="107" w:right="107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государственный горно-технологический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университет, </w:t>
            </w:r>
            <w:r>
              <w:rPr>
                <w:b/>
                <w:spacing w:val="-2"/>
                <w:sz w:val="24"/>
              </w:rPr>
              <w:t>Навои)</w:t>
            </w:r>
          </w:p>
        </w:tc>
        <w:tc>
          <w:tcPr>
            <w:tcW w:w="10490" w:type="dxa"/>
          </w:tcPr>
          <w:p w14:paraId="5BA27A28">
            <w:pPr>
              <w:pStyle w:val="11"/>
              <w:spacing w:before="11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сессии</w:t>
            </w:r>
          </w:p>
        </w:tc>
        <w:tc>
          <w:tcPr>
            <w:tcW w:w="1408" w:type="dxa"/>
          </w:tcPr>
          <w:p w14:paraId="55B7BB14">
            <w:pPr>
              <w:pStyle w:val="11"/>
              <w:spacing w:before="13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10:00-</w:t>
            </w:r>
            <w:r>
              <w:rPr>
                <w:b/>
                <w:spacing w:val="-2"/>
                <w:sz w:val="20"/>
              </w:rPr>
              <w:t>10:10</w:t>
            </w:r>
          </w:p>
        </w:tc>
      </w:tr>
      <w:tr w14:paraId="0F299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58441D25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3ABA67E8">
            <w:pPr>
              <w:pStyle w:val="11"/>
              <w:ind w:left="103" w:right="187"/>
              <w:rPr>
                <w:sz w:val="24"/>
              </w:rPr>
            </w:pPr>
            <w:r>
              <w:rPr>
                <w:b/>
                <w:sz w:val="24"/>
              </w:rPr>
              <w:t>Пленарное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Центральной </w:t>
            </w:r>
            <w:r>
              <w:rPr>
                <w:spacing w:val="-2"/>
                <w:sz w:val="24"/>
              </w:rPr>
              <w:t>Азии»:</w:t>
            </w:r>
          </w:p>
          <w:p w14:paraId="14063B13">
            <w:pPr>
              <w:pStyle w:val="11"/>
              <w:numPr>
                <w:ilvl w:val="0"/>
                <w:numId w:val="2"/>
              </w:numPr>
              <w:tabs>
                <w:tab w:val="left" w:pos="390"/>
              </w:tabs>
              <w:ind w:left="390" w:hanging="139"/>
              <w:rPr>
                <w:sz w:val="24"/>
              </w:rPr>
            </w:pPr>
            <w:r>
              <w:rPr>
                <w:sz w:val="24"/>
              </w:rPr>
              <w:t>Приветственные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гостей;</w:t>
            </w:r>
          </w:p>
          <w:p w14:paraId="7992618D">
            <w:pPr>
              <w:pStyle w:val="11"/>
              <w:numPr>
                <w:ilvl w:val="0"/>
                <w:numId w:val="2"/>
              </w:numPr>
              <w:tabs>
                <w:tab w:val="left" w:pos="390"/>
              </w:tabs>
              <w:spacing w:line="291" w:lineRule="exact"/>
              <w:ind w:left="390" w:hanging="139"/>
              <w:rPr>
                <w:b/>
                <w:sz w:val="24"/>
              </w:rPr>
            </w:pPr>
            <w:r>
              <w:rPr>
                <w:b/>
                <w:sz w:val="24"/>
              </w:rPr>
              <w:t>Доклад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В.Л. </w:t>
            </w:r>
            <w:r>
              <w:rPr>
                <w:b/>
                <w:spacing w:val="-2"/>
                <w:sz w:val="24"/>
              </w:rPr>
              <w:t>Квинта</w:t>
            </w:r>
          </w:p>
          <w:p w14:paraId="6A2BD57C">
            <w:pPr>
              <w:pStyle w:val="11"/>
              <w:numPr>
                <w:ilvl w:val="0"/>
                <w:numId w:val="2"/>
              </w:numPr>
              <w:tabs>
                <w:tab w:val="left" w:pos="390"/>
              </w:tabs>
              <w:spacing w:line="291" w:lineRule="exact"/>
              <w:ind w:left="390" w:hanging="139"/>
              <w:rPr>
                <w:sz w:val="24"/>
              </w:rPr>
            </w:pPr>
            <w:r>
              <w:rPr>
                <w:sz w:val="24"/>
              </w:rPr>
              <w:t>Пленарные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доклады </w:t>
            </w:r>
            <w:r>
              <w:rPr>
                <w:spacing w:val="-2"/>
                <w:sz w:val="24"/>
              </w:rPr>
              <w:t>участников;</w:t>
            </w:r>
          </w:p>
          <w:p w14:paraId="03E64D38">
            <w:pPr>
              <w:pStyle w:val="11"/>
              <w:tabs>
                <w:tab w:val="left" w:pos="390"/>
              </w:tabs>
              <w:spacing w:line="291" w:lineRule="exact"/>
              <w:ind w:left="390"/>
              <w:rPr>
                <w:sz w:val="24"/>
              </w:rPr>
            </w:pPr>
          </w:p>
          <w:p w14:paraId="5713A2ED">
            <w:pPr>
              <w:pStyle w:val="11"/>
              <w:numPr>
                <w:ilvl w:val="0"/>
                <w:numId w:val="2"/>
              </w:numPr>
              <w:tabs>
                <w:tab w:val="left" w:pos="390"/>
              </w:tabs>
              <w:spacing w:before="6" w:line="235" w:lineRule="auto"/>
              <w:ind w:right="5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Презентация </w:t>
            </w:r>
            <w:r>
              <w:rPr>
                <w:b/>
                <w:sz w:val="24"/>
                <w:lang w:val="uz-Cyrl-UZ"/>
              </w:rPr>
              <w:t>двухтомной монографии «Стратегирование водных ресурсов промышленных предприятий: теория, методология, практика».</w:t>
            </w:r>
          </w:p>
        </w:tc>
        <w:tc>
          <w:tcPr>
            <w:tcW w:w="1408" w:type="dxa"/>
          </w:tcPr>
          <w:p w14:paraId="2E4A1CCC">
            <w:pPr>
              <w:pStyle w:val="11"/>
              <w:rPr>
                <w:sz w:val="20"/>
              </w:rPr>
            </w:pPr>
          </w:p>
          <w:p w14:paraId="5A85B9E2">
            <w:pPr>
              <w:pStyle w:val="11"/>
              <w:rPr>
                <w:sz w:val="20"/>
              </w:rPr>
            </w:pPr>
          </w:p>
          <w:p w14:paraId="55D676BA">
            <w:pPr>
              <w:pStyle w:val="11"/>
              <w:rPr>
                <w:sz w:val="20"/>
              </w:rPr>
            </w:pPr>
          </w:p>
          <w:p w14:paraId="0D8EE99B">
            <w:pPr>
              <w:pStyle w:val="11"/>
              <w:spacing w:before="104"/>
              <w:rPr>
                <w:sz w:val="20"/>
              </w:rPr>
            </w:pPr>
          </w:p>
          <w:p w14:paraId="750F0A54">
            <w:pPr>
              <w:pStyle w:val="1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10:10-</w:t>
            </w:r>
            <w:r>
              <w:rPr>
                <w:b/>
                <w:spacing w:val="-2"/>
                <w:sz w:val="20"/>
              </w:rPr>
              <w:t>12:00</w:t>
            </w:r>
          </w:p>
        </w:tc>
      </w:tr>
      <w:tr w14:paraId="4EC67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671A6E5A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3FE80F85">
            <w:pPr>
              <w:pStyle w:val="11"/>
              <w:spacing w:before="31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Перерыв</w:t>
            </w:r>
          </w:p>
        </w:tc>
        <w:tc>
          <w:tcPr>
            <w:tcW w:w="1408" w:type="dxa"/>
          </w:tcPr>
          <w:p w14:paraId="026FBA3F">
            <w:pPr>
              <w:pStyle w:val="11"/>
              <w:spacing w:before="5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13:00-</w:t>
            </w:r>
            <w:r>
              <w:rPr>
                <w:b/>
                <w:spacing w:val="-2"/>
                <w:sz w:val="20"/>
              </w:rPr>
              <w:t>14:00</w:t>
            </w:r>
          </w:p>
        </w:tc>
      </w:tr>
      <w:tr w14:paraId="58B2F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47A2D06A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093B3767">
            <w:pPr>
              <w:pStyle w:val="11"/>
              <w:spacing w:before="91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Секция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Азии»</w:t>
            </w:r>
          </w:p>
        </w:tc>
        <w:tc>
          <w:tcPr>
            <w:tcW w:w="1408" w:type="dxa"/>
            <w:vMerge w:val="restart"/>
          </w:tcPr>
          <w:p w14:paraId="518CB651">
            <w:pPr>
              <w:pStyle w:val="11"/>
              <w:rPr>
                <w:sz w:val="20"/>
              </w:rPr>
            </w:pPr>
          </w:p>
          <w:p w14:paraId="4A102CFF">
            <w:pPr>
              <w:pStyle w:val="11"/>
              <w:spacing w:before="76"/>
              <w:rPr>
                <w:sz w:val="20"/>
              </w:rPr>
            </w:pPr>
          </w:p>
          <w:p w14:paraId="7EFB9A09">
            <w:pPr>
              <w:pStyle w:val="11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14:00-</w:t>
            </w:r>
            <w:r>
              <w:rPr>
                <w:b/>
                <w:spacing w:val="-2"/>
                <w:sz w:val="20"/>
              </w:rPr>
              <w:t>17:00</w:t>
            </w:r>
          </w:p>
        </w:tc>
      </w:tr>
      <w:tr w14:paraId="47417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317ABA1B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23A1D7A5">
            <w:pPr>
              <w:pStyle w:val="11"/>
              <w:spacing w:line="271" w:lineRule="exact"/>
              <w:ind w:left="103"/>
              <w:rPr>
                <w:sz w:val="24"/>
              </w:rPr>
            </w:pPr>
            <w:r>
              <w:rPr>
                <w:b/>
                <w:sz w:val="24"/>
              </w:rPr>
              <w:t>Секция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стратегировании»</w:t>
            </w:r>
          </w:p>
          <w:p w14:paraId="57F17165">
            <w:pPr>
              <w:pStyle w:val="11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магистрантов,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аспирантов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стратегированию)» (дистанционный формат)</w:t>
            </w:r>
          </w:p>
        </w:tc>
        <w:tc>
          <w:tcPr>
            <w:tcW w:w="1408" w:type="dxa"/>
            <w:vMerge w:val="continue"/>
            <w:tcBorders>
              <w:top w:val="nil"/>
            </w:tcBorders>
          </w:tcPr>
          <w:p w14:paraId="63C595FD">
            <w:pPr>
              <w:rPr>
                <w:sz w:val="2"/>
                <w:szCs w:val="2"/>
              </w:rPr>
            </w:pPr>
          </w:p>
        </w:tc>
      </w:tr>
      <w:tr w14:paraId="60FEE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53BA45E5">
            <w:pPr>
              <w:rPr>
                <w:sz w:val="2"/>
                <w:szCs w:val="2"/>
              </w:rPr>
            </w:pPr>
          </w:p>
        </w:tc>
        <w:tc>
          <w:tcPr>
            <w:tcW w:w="11898" w:type="dxa"/>
            <w:gridSpan w:val="2"/>
          </w:tcPr>
          <w:p w14:paraId="3E595FCA">
            <w:pPr>
              <w:pStyle w:val="11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2"/>
                <w:sz w:val="24"/>
              </w:rPr>
              <w:t xml:space="preserve"> сессии</w:t>
            </w:r>
          </w:p>
        </w:tc>
      </w:tr>
    </w:tbl>
    <w:p w14:paraId="7F630E42"/>
    <w:p w14:paraId="5FF0D4A5"/>
    <w:p w14:paraId="2E5EC08A"/>
    <w:p w14:paraId="32B87DC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3E5484C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1AB5B01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2AA3AE8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44A7194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5C5EB6D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63270D0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6B47E4A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59DBEC7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3B4048B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2AD8FBE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5073D2A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7B887DC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15E73F2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411734E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6F28F47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67C8971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6BE2E85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0D59624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12C2851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41F52F4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6343907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</w:rPr>
      </w:pPr>
    </w:p>
    <w:p w14:paraId="7DDC869B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1" w:right="17"/>
        <w:jc w:val="center"/>
        <w:textAlignment w:val="auto"/>
      </w:pPr>
      <w:r>
        <w:rPr>
          <w:rStyle w:val="6"/>
          <w:b/>
          <w:bCs/>
        </w:rPr>
        <w:t>«MARKAZIY OSIYO STRATEG UNIVERSITARIUMI»</w:t>
      </w:r>
      <w:r>
        <w:rPr>
          <w:rStyle w:val="6"/>
          <w:rFonts w:hint="default"/>
          <w:b/>
          <w:bCs/>
          <w:lang w:val="ru-RU"/>
        </w:rPr>
        <w:t>,</w:t>
      </w:r>
    </w:p>
    <w:p w14:paraId="370FC4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1" w:right="17"/>
        <w:jc w:val="center"/>
        <w:textAlignment w:val="auto"/>
        <w:rPr>
          <w:rStyle w:val="5"/>
          <w:b w:val="0"/>
          <w:bCs w:val="0"/>
        </w:rPr>
      </w:pPr>
      <w:r>
        <w:rPr>
          <w:rStyle w:val="5"/>
          <w:b w:val="0"/>
          <w:bCs w:val="0"/>
        </w:rPr>
        <w:t xml:space="preserve">O‘zbekiston Respublikasi Fanlar akademiyasi prezidenti, atoqli olim, akademik B.S. Yuldashev </w:t>
      </w:r>
    </w:p>
    <w:p w14:paraId="19AC79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11" w:right="17"/>
        <w:jc w:val="center"/>
        <w:textAlignment w:val="auto"/>
        <w:rPr>
          <w:b w:val="0"/>
          <w:bCs w:val="0"/>
        </w:rPr>
      </w:pPr>
      <w:r>
        <w:rPr>
          <w:rStyle w:val="5"/>
          <w:b w:val="0"/>
          <w:bCs w:val="0"/>
        </w:rPr>
        <w:t>xotirasiga bag‘ishlanadi.</w:t>
      </w:r>
    </w:p>
    <w:p w14:paraId="0FCF2BE8">
      <w:pPr>
        <w:pStyle w:val="2"/>
        <w:jc w:val="both"/>
        <w:rPr>
          <w:b w:val="0"/>
          <w:bCs w:val="0"/>
          <w:sz w:val="26"/>
          <w:szCs w:val="26"/>
        </w:rPr>
      </w:pPr>
      <w:r>
        <w:rPr>
          <w:b/>
          <w:bCs/>
          <w:sz w:val="26"/>
          <w:szCs w:val="26"/>
        </w:rPr>
        <w:t>Behzod Sodiqovich Y</w:t>
      </w:r>
      <w:r>
        <w:t>o‘</w:t>
      </w:r>
      <w:r>
        <w:rPr>
          <w:b/>
          <w:bCs/>
          <w:sz w:val="26"/>
          <w:szCs w:val="26"/>
        </w:rPr>
        <w:t>ld</w:t>
      </w:r>
      <w:r>
        <w:rPr>
          <w:rFonts w:hint="default"/>
          <w:b/>
          <w:bCs/>
          <w:sz w:val="26"/>
          <w:szCs w:val="26"/>
          <w:lang w:val="en-US"/>
        </w:rPr>
        <w:t>o</w:t>
      </w:r>
      <w:bookmarkStart w:id="0" w:name="_GoBack"/>
      <w:bookmarkEnd w:id="0"/>
      <w:r>
        <w:rPr>
          <w:b/>
          <w:bCs/>
          <w:sz w:val="26"/>
          <w:szCs w:val="26"/>
        </w:rPr>
        <w:t>shev (1945–2024)</w:t>
      </w:r>
      <w:r>
        <w:rPr>
          <w:b w:val="0"/>
          <w:bCs w:val="0"/>
          <w:sz w:val="26"/>
          <w:szCs w:val="26"/>
        </w:rPr>
        <w:t xml:space="preserve"> — fizika-matematika fanlari doktori, professor, O‘zbekiston Respublikasi Fanlar akademiyasi akademigi, O‘zbekiston Respublikasi Fanlar akademiyasi prezidenti (2000–2005-yillarda va 2017–2024-yillarda). Rossiya Fanlar akademiyasi hamda Qozog‘iston Milliy fanlar akademiyasining xorijiy a’zosi.</w:t>
      </w:r>
    </w:p>
    <w:p w14:paraId="7A27C11C">
      <w:pPr>
        <w:pStyle w:val="2"/>
        <w:jc w:val="both"/>
        <w:rPr>
          <w:b w:val="0"/>
          <w:bCs w:val="0"/>
          <w:sz w:val="26"/>
          <w:szCs w:val="26"/>
        </w:rPr>
      </w:pPr>
    </w:p>
    <w:tbl>
      <w:tblPr>
        <w:tblStyle w:val="9"/>
        <w:tblW w:w="0" w:type="auto"/>
        <w:tblInd w:w="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3"/>
        <w:gridCol w:w="10523"/>
        <w:gridCol w:w="1372"/>
      </w:tblGrid>
      <w:tr w14:paraId="26F4E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373" w:type="dxa"/>
            <w:tcBorders>
              <w:bottom w:val="nil"/>
            </w:tcBorders>
          </w:tcPr>
          <w:p w14:paraId="5514A4A9">
            <w:pPr>
              <w:pStyle w:val="11"/>
            </w:pPr>
          </w:p>
        </w:tc>
        <w:tc>
          <w:tcPr>
            <w:tcW w:w="10523" w:type="dxa"/>
          </w:tcPr>
          <w:p w14:paraId="61800784">
            <w:pPr>
              <w:pStyle w:val="11"/>
              <w:spacing w:before="6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Sessiyaning birinchi kunini ochish:</w:t>
            </w:r>
          </w:p>
        </w:tc>
        <w:tc>
          <w:tcPr>
            <w:tcW w:w="1372" w:type="dxa"/>
          </w:tcPr>
          <w:p w14:paraId="14984373">
            <w:pPr>
              <w:pStyle w:val="11"/>
              <w:spacing w:before="8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10:00-</w:t>
            </w:r>
            <w:r>
              <w:rPr>
                <w:b/>
                <w:spacing w:val="-2"/>
                <w:sz w:val="20"/>
              </w:rPr>
              <w:t>10:10</w:t>
            </w:r>
          </w:p>
        </w:tc>
      </w:tr>
      <w:tr w14:paraId="60DD2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373" w:type="dxa"/>
            <w:tcBorders>
              <w:top w:val="nil"/>
              <w:bottom w:val="nil"/>
            </w:tcBorders>
          </w:tcPr>
          <w:p w14:paraId="4B1661D4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53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/>
                <w:color w:val="002060"/>
                <w:sz w:val="24"/>
                <w:u w:val="single"/>
              </w:rPr>
            </w:pPr>
          </w:p>
          <w:p w14:paraId="31DA396F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53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color w:val="002060"/>
                <w:sz w:val="24"/>
                <w:u w:val="single"/>
              </w:rPr>
              <w:t xml:space="preserve">2026-yil </w:t>
            </w:r>
            <w:r>
              <w:rPr>
                <w:rFonts w:hint="default"/>
                <w:b/>
                <w:color w:val="002060"/>
                <w:sz w:val="24"/>
                <w:u w:val="single"/>
                <w:lang w:val="ru-RU"/>
              </w:rPr>
              <w:t xml:space="preserve"> </w:t>
            </w:r>
            <w:r>
              <w:rPr>
                <w:b/>
                <w:color w:val="002060"/>
                <w:sz w:val="24"/>
                <w:u w:val="single"/>
              </w:rPr>
              <w:t>4-noyabr</w:t>
            </w:r>
          </w:p>
        </w:tc>
        <w:tc>
          <w:tcPr>
            <w:tcW w:w="10523" w:type="dxa"/>
            <w:vMerge w:val="restart"/>
          </w:tcPr>
          <w:p w14:paraId="0B1AC3E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</w:pPr>
            <w:r>
              <w:rPr>
                <w:rStyle w:val="6"/>
              </w:rPr>
              <w:t>“Markaziy Osiyo mintaqasini strategiyalash nazariyasi va amaliyoti” yalpi majlisi:</w:t>
            </w:r>
          </w:p>
          <w:p w14:paraId="4836E63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ind w:left="420" w:leftChars="0" w:hanging="280" w:firstLineChars="0"/>
              <w:textAlignment w:val="auto"/>
            </w:pPr>
            <w:r>
              <w:t>· Mehmonlarning tabrik so‘zlari;</w:t>
            </w:r>
          </w:p>
          <w:p w14:paraId="4116DEE6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ind w:left="420" w:leftChars="0" w:hanging="280" w:firstLineChars="0"/>
              <w:textAlignment w:val="auto"/>
            </w:pPr>
            <w:r>
              <w:t xml:space="preserve">· </w:t>
            </w:r>
            <w:r>
              <w:rPr>
                <w:rStyle w:val="6"/>
              </w:rPr>
              <w:t>Akademik V.L. Kvintning ma’ruzasi;</w:t>
            </w:r>
          </w:p>
          <w:p w14:paraId="595C9CC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ind w:left="420" w:leftChars="0" w:hanging="280" w:firstLineChars="0"/>
              <w:textAlignment w:val="auto"/>
            </w:pPr>
            <w:r>
              <w:t>· Ishtirokchilarning yalpi ma’ruzalari;</w:t>
            </w:r>
          </w:p>
          <w:p w14:paraId="2BAE2EF0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ind w:left="420" w:leftChars="0" w:hanging="280" w:firstLineChars="0"/>
              <w:textAlignment w:val="auto"/>
              <w:rPr>
                <w:sz w:val="24"/>
              </w:rPr>
            </w:pPr>
            <w:r>
              <w:t xml:space="preserve">· </w:t>
            </w:r>
            <w:r>
              <w:rPr>
                <w:rStyle w:val="6"/>
              </w:rPr>
              <w:t>“Strateg kutubxonasi”, “Kuzbass strategiyasi” kutubxonasi, “Rossiya Uzoq Sharqi strategiyasi” kutubxonasi, “Iqtisodiy va moliyaviy strategiya” kitoblari hamda kafedra jurnallarining taqdimoti.</w:t>
            </w:r>
          </w:p>
        </w:tc>
        <w:tc>
          <w:tcPr>
            <w:tcW w:w="1372" w:type="dxa"/>
            <w:tcBorders>
              <w:bottom w:val="nil"/>
            </w:tcBorders>
          </w:tcPr>
          <w:p w14:paraId="4C2B0D78">
            <w:pPr>
              <w:pStyle w:val="11"/>
              <w:jc w:val="center"/>
            </w:pPr>
          </w:p>
        </w:tc>
      </w:tr>
      <w:tr w14:paraId="14CE2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3373" w:type="dxa"/>
            <w:tcBorders>
              <w:top w:val="nil"/>
              <w:bottom w:val="nil"/>
            </w:tcBorders>
          </w:tcPr>
          <w:p w14:paraId="74EB48C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5"/>
              <w:jc w:val="center"/>
              <w:textAlignment w:val="auto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(</w:t>
            </w:r>
            <w:r>
              <w:rPr>
                <w:b/>
                <w:sz w:val="24"/>
              </w:rPr>
              <w:t>Mirzo Ulug‘bek nomidagi O‘zbekiston Milliy universiteti, Toshkent</w:t>
            </w:r>
            <w:r>
              <w:rPr>
                <w:rFonts w:hint="default"/>
                <w:b/>
                <w:sz w:val="24"/>
                <w:lang w:val="ru-RU"/>
              </w:rPr>
              <w:t>)</w:t>
            </w:r>
          </w:p>
        </w:tc>
        <w:tc>
          <w:tcPr>
            <w:tcW w:w="10523" w:type="dxa"/>
            <w:vMerge w:val="continue"/>
            <w:tcBorders>
              <w:top w:val="nil"/>
            </w:tcBorders>
          </w:tcPr>
          <w:p w14:paraId="6F2741DC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tcBorders>
              <w:top w:val="nil"/>
            </w:tcBorders>
          </w:tcPr>
          <w:p w14:paraId="77329156">
            <w:pPr>
              <w:pStyle w:val="11"/>
              <w:spacing w:before="2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10:10-</w:t>
            </w:r>
            <w:r>
              <w:rPr>
                <w:b/>
                <w:spacing w:val="-2"/>
                <w:sz w:val="20"/>
              </w:rPr>
              <w:t>12:00</w:t>
            </w:r>
          </w:p>
        </w:tc>
      </w:tr>
      <w:tr w14:paraId="35013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373" w:type="dxa"/>
            <w:vMerge w:val="restart"/>
            <w:tcBorders>
              <w:top w:val="nil"/>
            </w:tcBorders>
          </w:tcPr>
          <w:p w14:paraId="00A2F876"/>
        </w:tc>
        <w:tc>
          <w:tcPr>
            <w:tcW w:w="10523" w:type="dxa"/>
          </w:tcPr>
          <w:p w14:paraId="33760E1B">
            <w:pPr>
              <w:pStyle w:val="11"/>
              <w:spacing w:before="6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Tanaffus</w:t>
            </w:r>
          </w:p>
        </w:tc>
        <w:tc>
          <w:tcPr>
            <w:tcW w:w="1372" w:type="dxa"/>
          </w:tcPr>
          <w:p w14:paraId="45064479">
            <w:pPr>
              <w:pStyle w:val="11"/>
              <w:spacing w:before="8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12:00-</w:t>
            </w:r>
            <w:r>
              <w:rPr>
                <w:b/>
                <w:spacing w:val="-2"/>
                <w:sz w:val="20"/>
              </w:rPr>
              <w:t>13:00</w:t>
            </w:r>
          </w:p>
        </w:tc>
      </w:tr>
      <w:tr w14:paraId="48AF8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73" w:type="dxa"/>
            <w:vMerge w:val="continue"/>
            <w:tcBorders>
              <w:top w:val="nil"/>
            </w:tcBorders>
          </w:tcPr>
          <w:p w14:paraId="0728A35B">
            <w:pPr>
              <w:rPr>
                <w:sz w:val="2"/>
                <w:szCs w:val="2"/>
              </w:rPr>
            </w:pPr>
          </w:p>
        </w:tc>
        <w:tc>
          <w:tcPr>
            <w:tcW w:w="10523" w:type="dxa"/>
            <w:vAlign w:val="center"/>
          </w:tcPr>
          <w:p w14:paraId="0F7CE09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2"/>
              <w:jc w:val="both"/>
              <w:textAlignment w:val="auto"/>
              <w:rPr>
                <w:sz w:val="24"/>
              </w:rPr>
            </w:pPr>
            <w:r>
              <w:rPr>
                <w:rStyle w:val="6"/>
                <w:rFonts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 xml:space="preserve">1-seksiya. </w:t>
            </w:r>
            <w:r>
              <w:rPr>
                <w:rStyle w:val="6"/>
                <w:rFonts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“Markaziy Osiyoda mintaqaviy strategiyalash: amaliy tashabbuslar”</w:t>
            </w:r>
          </w:p>
        </w:tc>
        <w:tc>
          <w:tcPr>
            <w:tcW w:w="1372" w:type="dxa"/>
            <w:tcBorders>
              <w:bottom w:val="nil"/>
            </w:tcBorders>
          </w:tcPr>
          <w:p w14:paraId="4486DC23">
            <w:pPr>
              <w:pStyle w:val="11"/>
            </w:pPr>
          </w:p>
        </w:tc>
      </w:tr>
      <w:tr w14:paraId="698C4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373" w:type="dxa"/>
            <w:tcBorders>
              <w:bottom w:val="nil"/>
            </w:tcBorders>
          </w:tcPr>
          <w:p w14:paraId="0494C3B6">
            <w:pPr>
              <w:pStyle w:val="11"/>
              <w:spacing w:before="2"/>
              <w:rPr>
                <w:sz w:val="24"/>
              </w:rPr>
            </w:pPr>
          </w:p>
          <w:p w14:paraId="66FFE710">
            <w:pPr>
              <w:pStyle w:val="11"/>
              <w:spacing w:before="1"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(Green</w:t>
            </w:r>
            <w:r>
              <w:rPr>
                <w:b/>
                <w:spacing w:val="-2"/>
                <w:sz w:val="24"/>
              </w:rPr>
              <w:t xml:space="preserve"> University)</w:t>
            </w:r>
          </w:p>
        </w:tc>
        <w:tc>
          <w:tcPr>
            <w:tcW w:w="10523" w:type="dxa"/>
            <w:vAlign w:val="center"/>
          </w:tcPr>
          <w:p w14:paraId="67D5A5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2"/>
              <w:jc w:val="both"/>
              <w:textAlignment w:val="auto"/>
              <w:rPr>
                <w:rFonts w:ascii="Times New Roman" w:hAnsi="Times New Roman" w:eastAsia="Times New Roman" w:cs="Times New Roman"/>
                <w:b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2"/>
                <w:lang w:val="en-US" w:eastAsia="zh-CN" w:bidi="ar-SA"/>
              </w:rPr>
              <w:t xml:space="preserve">2-seksiya. 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2"/>
                <w:lang w:val="en-US" w:eastAsia="zh-CN" w:bidi="ar-SA"/>
              </w:rPr>
              <w:t>“Markaziy Osiyo ekologik xavfsizligining ilmiy-texnik salohiyatini strategiyalash”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14:paraId="4CF4558D">
            <w:pPr>
              <w:pStyle w:val="11"/>
              <w:spacing w:before="200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13:00-</w:t>
            </w:r>
            <w:r>
              <w:rPr>
                <w:b/>
                <w:spacing w:val="-2"/>
                <w:sz w:val="20"/>
              </w:rPr>
              <w:t>16:00</w:t>
            </w:r>
          </w:p>
        </w:tc>
      </w:tr>
      <w:tr w14:paraId="59200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373" w:type="dxa"/>
            <w:tcBorders>
              <w:top w:val="nil"/>
            </w:tcBorders>
          </w:tcPr>
          <w:p w14:paraId="4CBE7391">
            <w:pPr>
              <w:pStyle w:val="11"/>
            </w:pPr>
          </w:p>
        </w:tc>
        <w:tc>
          <w:tcPr>
            <w:tcW w:w="10523" w:type="dxa"/>
            <w:vAlign w:val="center"/>
          </w:tcPr>
          <w:p w14:paraId="5B64332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2"/>
              <w:jc w:val="both"/>
              <w:textAlignment w:val="auto"/>
              <w:rPr>
                <w:rFonts w:ascii="Times New Roman" w:hAnsi="Times New Roman" w:eastAsia="Times New Roman" w:cs="Times New Roman"/>
                <w:b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2"/>
                <w:lang w:val="ru-RU" w:eastAsia="en-US" w:bidi="ar-SA"/>
              </w:rPr>
              <w:t xml:space="preserve">3-seksiya. 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2"/>
                <w:lang w:val="ru-RU" w:eastAsia="en-US" w:bidi="ar-SA"/>
              </w:rPr>
              <w:t>“Markaziy Osiyo mintaqasida inson salohiyati va ekologik madaniyatni strategiyalash”</w:t>
            </w:r>
          </w:p>
        </w:tc>
        <w:tc>
          <w:tcPr>
            <w:tcW w:w="1372" w:type="dxa"/>
            <w:tcBorders>
              <w:top w:val="nil"/>
            </w:tcBorders>
          </w:tcPr>
          <w:p w14:paraId="2CC81BCB">
            <w:pPr>
              <w:pStyle w:val="11"/>
            </w:pPr>
          </w:p>
        </w:tc>
      </w:tr>
    </w:tbl>
    <w:p w14:paraId="75CE5469">
      <w:pPr>
        <w:pStyle w:val="2"/>
        <w:jc w:val="both"/>
        <w:rPr>
          <w:b w:val="0"/>
          <w:bCs w:val="0"/>
          <w:sz w:val="26"/>
          <w:szCs w:val="26"/>
        </w:rPr>
      </w:pPr>
    </w:p>
    <w:p w14:paraId="4B2DFC96">
      <w:pPr>
        <w:pStyle w:val="2"/>
        <w:jc w:val="both"/>
        <w:rPr>
          <w:b w:val="0"/>
          <w:bCs w:val="0"/>
          <w:sz w:val="26"/>
          <w:szCs w:val="26"/>
        </w:rPr>
      </w:pPr>
    </w:p>
    <w:p w14:paraId="41B4FCED">
      <w:pPr>
        <w:pStyle w:val="2"/>
        <w:jc w:val="both"/>
        <w:rPr>
          <w:b w:val="0"/>
          <w:bCs w:val="0"/>
          <w:sz w:val="26"/>
          <w:szCs w:val="26"/>
        </w:rPr>
      </w:pPr>
    </w:p>
    <w:p w14:paraId="1529B655">
      <w:pPr>
        <w:pStyle w:val="2"/>
        <w:jc w:val="both"/>
        <w:rPr>
          <w:b w:val="0"/>
          <w:bCs w:val="0"/>
          <w:sz w:val="26"/>
          <w:szCs w:val="26"/>
        </w:rPr>
      </w:pPr>
    </w:p>
    <w:p w14:paraId="7F8D6ACB">
      <w:pPr>
        <w:pStyle w:val="2"/>
        <w:jc w:val="both"/>
        <w:rPr>
          <w:b w:val="0"/>
          <w:bCs w:val="0"/>
          <w:sz w:val="26"/>
          <w:szCs w:val="26"/>
        </w:rPr>
      </w:pPr>
    </w:p>
    <w:p w14:paraId="61B14456">
      <w:pPr>
        <w:pStyle w:val="2"/>
        <w:jc w:val="both"/>
        <w:rPr>
          <w:b w:val="0"/>
          <w:bCs w:val="0"/>
          <w:sz w:val="26"/>
          <w:szCs w:val="26"/>
        </w:rPr>
      </w:pPr>
    </w:p>
    <w:p w14:paraId="249EA37F">
      <w:pPr>
        <w:pStyle w:val="2"/>
        <w:jc w:val="both"/>
        <w:rPr>
          <w:b w:val="0"/>
          <w:bCs w:val="0"/>
          <w:sz w:val="26"/>
          <w:szCs w:val="26"/>
        </w:rPr>
      </w:pPr>
    </w:p>
    <w:p w14:paraId="09B98C5A">
      <w:pPr>
        <w:pStyle w:val="2"/>
        <w:jc w:val="both"/>
        <w:rPr>
          <w:b w:val="0"/>
          <w:bCs w:val="0"/>
          <w:sz w:val="26"/>
          <w:szCs w:val="26"/>
        </w:rPr>
      </w:pPr>
    </w:p>
    <w:p w14:paraId="10C82EB4">
      <w:pPr>
        <w:pStyle w:val="2"/>
        <w:jc w:val="both"/>
        <w:rPr>
          <w:b w:val="0"/>
          <w:bCs w:val="0"/>
          <w:sz w:val="26"/>
          <w:szCs w:val="26"/>
        </w:rPr>
      </w:pPr>
    </w:p>
    <w:tbl>
      <w:tblPr>
        <w:tblStyle w:val="9"/>
        <w:tblW w:w="0" w:type="auto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5"/>
        <w:gridCol w:w="10490"/>
        <w:gridCol w:w="1408"/>
      </w:tblGrid>
      <w:tr w14:paraId="66D7B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365" w:type="dxa"/>
            <w:vMerge w:val="restart"/>
          </w:tcPr>
          <w:p w14:paraId="5FDEB9E9">
            <w:pPr>
              <w:pStyle w:val="11"/>
              <w:rPr>
                <w:sz w:val="24"/>
              </w:rPr>
            </w:pPr>
          </w:p>
          <w:p w14:paraId="3346B459">
            <w:pPr>
              <w:pStyle w:val="11"/>
              <w:rPr>
                <w:sz w:val="24"/>
              </w:rPr>
            </w:pPr>
          </w:p>
          <w:p w14:paraId="1EC3006F">
            <w:pPr>
              <w:pStyle w:val="11"/>
              <w:rPr>
                <w:sz w:val="24"/>
              </w:rPr>
            </w:pPr>
          </w:p>
          <w:p w14:paraId="24F087AD">
            <w:pPr>
              <w:pStyle w:val="11"/>
              <w:rPr>
                <w:sz w:val="24"/>
              </w:rPr>
            </w:pPr>
          </w:p>
          <w:p w14:paraId="7B901677">
            <w:pPr>
              <w:pStyle w:val="11"/>
              <w:numPr>
                <w:ilvl w:val="0"/>
                <w:numId w:val="5"/>
              </w:numPr>
              <w:spacing w:before="273"/>
              <w:jc w:val="center"/>
              <w:rPr>
                <w:b/>
                <w:color w:val="002060"/>
                <w:sz w:val="24"/>
                <w:u w:val="single"/>
              </w:rPr>
            </w:pPr>
            <w:r>
              <w:rPr>
                <w:b/>
                <w:color w:val="002060"/>
                <w:sz w:val="24"/>
                <w:u w:val="single"/>
              </w:rPr>
              <w:t xml:space="preserve">yil </w:t>
            </w:r>
            <w:r>
              <w:rPr>
                <w:rFonts w:hint="default"/>
                <w:b/>
                <w:color w:val="002060"/>
                <w:sz w:val="24"/>
                <w:u w:val="single"/>
                <w:lang w:val="ru-RU"/>
              </w:rPr>
              <w:t xml:space="preserve"> 5</w:t>
            </w:r>
            <w:r>
              <w:rPr>
                <w:b/>
                <w:color w:val="002060"/>
                <w:sz w:val="24"/>
                <w:u w:val="single"/>
              </w:rPr>
              <w:t>-noyabr</w:t>
            </w:r>
          </w:p>
          <w:p w14:paraId="0CF4DB1D">
            <w:pPr>
              <w:pStyle w:val="11"/>
              <w:numPr>
                <w:ilvl w:val="0"/>
                <w:numId w:val="0"/>
              </w:numPr>
              <w:spacing w:before="273"/>
              <w:jc w:val="both"/>
              <w:rPr>
                <w:b/>
                <w:color w:val="002060"/>
                <w:sz w:val="24"/>
                <w:u w:val="single"/>
              </w:rPr>
            </w:pPr>
          </w:p>
          <w:p w14:paraId="3DCF8BC1">
            <w:pPr>
              <w:pStyle w:val="11"/>
              <w:ind w:left="107" w:right="107" w:firstLine="3"/>
              <w:jc w:val="center"/>
              <w:rPr>
                <w:sz w:val="24"/>
              </w:rPr>
            </w:pPr>
            <w:r>
              <w:rPr>
                <w:b/>
                <w:bCs w:val="0"/>
                <w:spacing w:val="-2"/>
                <w:sz w:val="24"/>
              </w:rPr>
              <w:t>(</w:t>
            </w:r>
            <w:r>
              <w:rPr>
                <w:rFonts w:ascii="Times New Roman" w:hAnsi="Times New Roman"/>
                <w:b/>
                <w:bCs w:val="0"/>
                <w:i w:val="0"/>
                <w:sz w:val="26"/>
                <w:szCs w:val="26"/>
              </w:rPr>
              <w:t>Navoiy davlat konchilik va texnologiyalar universiteti</w:t>
            </w:r>
            <w:r>
              <w:rPr>
                <w:rFonts w:hint="default"/>
                <w:b/>
                <w:bCs w:val="0"/>
                <w:i w:val="0"/>
                <w:sz w:val="26"/>
                <w:szCs w:val="26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bCs w:val="0"/>
                <w:i w:val="0"/>
                <w:sz w:val="26"/>
                <w:szCs w:val="26"/>
              </w:rPr>
              <w:t>Navoiy</w:t>
            </w:r>
            <w:r>
              <w:rPr>
                <w:b/>
                <w:bCs w:val="0"/>
                <w:spacing w:val="-2"/>
                <w:sz w:val="24"/>
              </w:rPr>
              <w:t>)</w:t>
            </w:r>
          </w:p>
        </w:tc>
        <w:tc>
          <w:tcPr>
            <w:tcW w:w="10490" w:type="dxa"/>
          </w:tcPr>
          <w:p w14:paraId="39B56BD7">
            <w:pPr>
              <w:pStyle w:val="11"/>
              <w:spacing w:before="11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Sessiyaning ikkinchi kunini ochish</w:t>
            </w:r>
          </w:p>
        </w:tc>
        <w:tc>
          <w:tcPr>
            <w:tcW w:w="1408" w:type="dxa"/>
          </w:tcPr>
          <w:p w14:paraId="1071D1D8">
            <w:pPr>
              <w:pStyle w:val="11"/>
              <w:spacing w:before="13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10:00-</w:t>
            </w:r>
            <w:r>
              <w:rPr>
                <w:b/>
                <w:spacing w:val="-2"/>
                <w:sz w:val="20"/>
              </w:rPr>
              <w:t>10:10</w:t>
            </w:r>
          </w:p>
        </w:tc>
      </w:tr>
      <w:tr w14:paraId="25A95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44F4A6F9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6E71FD0E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 w:rightChars="0"/>
              <w:textAlignment w:val="auto"/>
            </w:pPr>
            <w:r>
              <w:rPr>
                <w:rStyle w:val="6"/>
              </w:rPr>
              <w:t>“</w:t>
            </w:r>
            <w:r>
              <w:rPr>
                <w:rStyle w:val="6"/>
                <w:b w:val="0"/>
                <w:bCs w:val="0"/>
              </w:rPr>
              <w:t>Markaziy Osiyoda sanoatni strategiyalash nazariyasi va amaliyoti</w:t>
            </w:r>
            <w:r>
              <w:rPr>
                <w:rStyle w:val="6"/>
              </w:rPr>
              <w:t>” yalpi majlisi:</w:t>
            </w:r>
          </w:p>
          <w:p w14:paraId="33F03147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0" w:leftChars="0" w:firstLine="0" w:firstLineChars="0"/>
              <w:textAlignment w:val="auto"/>
            </w:pPr>
            <w:r>
              <w:t>· Mehmonlarning tabrik so‘zlari;</w:t>
            </w:r>
          </w:p>
          <w:p w14:paraId="5F726532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0" w:leftChars="0" w:firstLine="0" w:firstLineChars="0"/>
              <w:textAlignment w:val="auto"/>
            </w:pPr>
            <w:r>
              <w:t xml:space="preserve">· </w:t>
            </w:r>
            <w:r>
              <w:rPr>
                <w:rStyle w:val="6"/>
              </w:rPr>
              <w:t>Akademik V.L. Kvintning ma’ruzasi;</w:t>
            </w:r>
          </w:p>
          <w:p w14:paraId="6109BCAB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0" w:leftChars="0" w:firstLine="0" w:firstLineChars="0"/>
              <w:textAlignment w:val="auto"/>
            </w:pPr>
            <w:r>
              <w:t>· Is punctuation in document:</w:t>
            </w:r>
            <w:r>
              <w:br w:type="textWrapping"/>
            </w:r>
            <w:r>
              <w:t>plenary talks by participants;</w:t>
            </w:r>
            <w:r>
              <w:br w:type="textWrapping"/>
            </w:r>
            <w:r>
              <w:t>· Ishtirokchilarning yalpi ma’ruzalari;</w:t>
            </w:r>
          </w:p>
          <w:p w14:paraId="0F483E0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0" w:leftChars="0" w:firstLine="0" w:firstLineChars="0"/>
              <w:textAlignment w:val="auto"/>
            </w:pPr>
          </w:p>
          <w:p w14:paraId="666D59C1"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0" w:leftChars="0" w:hanging="280" w:firstLineChars="0"/>
              <w:textAlignment w:val="auto"/>
              <w:rPr>
                <w:b/>
                <w:sz w:val="24"/>
              </w:rPr>
            </w:pPr>
            <w:r>
              <w:rPr>
                <w:rStyle w:val="6"/>
              </w:rPr>
              <w:t>“Sanoat korxonalarining suv resurslarini strategiyalash: nazariya, metodologiya va amaliyot” nomli ikki jildli monografiya taqdimoti.</w:t>
            </w:r>
          </w:p>
        </w:tc>
        <w:tc>
          <w:tcPr>
            <w:tcW w:w="1408" w:type="dxa"/>
          </w:tcPr>
          <w:p w14:paraId="113BA962">
            <w:pPr>
              <w:pStyle w:val="11"/>
              <w:rPr>
                <w:sz w:val="20"/>
              </w:rPr>
            </w:pPr>
          </w:p>
          <w:p w14:paraId="0C5FC744">
            <w:pPr>
              <w:pStyle w:val="11"/>
              <w:rPr>
                <w:sz w:val="20"/>
              </w:rPr>
            </w:pPr>
          </w:p>
          <w:p w14:paraId="54593D80">
            <w:pPr>
              <w:pStyle w:val="11"/>
              <w:rPr>
                <w:sz w:val="20"/>
              </w:rPr>
            </w:pPr>
          </w:p>
          <w:p w14:paraId="24687A54">
            <w:pPr>
              <w:pStyle w:val="11"/>
              <w:spacing w:before="104"/>
              <w:rPr>
                <w:sz w:val="20"/>
              </w:rPr>
            </w:pPr>
          </w:p>
          <w:p w14:paraId="12B60D50">
            <w:pPr>
              <w:pStyle w:val="1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10:10-</w:t>
            </w:r>
            <w:r>
              <w:rPr>
                <w:b/>
                <w:spacing w:val="-2"/>
                <w:sz w:val="20"/>
              </w:rPr>
              <w:t>12:00</w:t>
            </w:r>
          </w:p>
        </w:tc>
      </w:tr>
      <w:tr w14:paraId="65D7C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4416D6E1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76F7AFAE">
            <w:pPr>
              <w:pStyle w:val="11"/>
              <w:spacing w:before="3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Tanaffus</w:t>
            </w:r>
          </w:p>
        </w:tc>
        <w:tc>
          <w:tcPr>
            <w:tcW w:w="1408" w:type="dxa"/>
          </w:tcPr>
          <w:p w14:paraId="3AB6B2EB">
            <w:pPr>
              <w:pStyle w:val="11"/>
              <w:spacing w:before="5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13:00-</w:t>
            </w:r>
            <w:r>
              <w:rPr>
                <w:b/>
                <w:spacing w:val="-2"/>
                <w:sz w:val="20"/>
              </w:rPr>
              <w:t>14:00</w:t>
            </w:r>
          </w:p>
        </w:tc>
      </w:tr>
      <w:tr w14:paraId="46F43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115F1C50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1D8C3D2C">
            <w:pPr>
              <w:pStyle w:val="11"/>
              <w:spacing w:before="91"/>
              <w:ind w:left="103"/>
              <w:rPr>
                <w:sz w:val="24"/>
              </w:rPr>
            </w:pPr>
            <w:r>
              <w:rPr>
                <w:rFonts w:ascii="SimSun" w:hAnsi="SimSun" w:eastAsia="SimSun" w:cs="SimSun"/>
                <w:b/>
                <w:bCs/>
                <w:sz w:val="24"/>
                <w:szCs w:val="24"/>
              </w:rPr>
              <w:t>4</w:t>
            </w:r>
            <w:r>
              <w:rPr>
                <w:rStyle w:val="6"/>
                <w:rFonts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Style w:val="6"/>
                <w:rFonts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 xml:space="preserve">seksiya. </w:t>
            </w:r>
            <w:r>
              <w:rPr>
                <w:rStyle w:val="6"/>
                <w:rFonts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“Markaziy Osiyoda sanoatni strategiyalash amaliyoti”</w:t>
            </w:r>
          </w:p>
        </w:tc>
        <w:tc>
          <w:tcPr>
            <w:tcW w:w="1408" w:type="dxa"/>
            <w:vMerge w:val="restart"/>
          </w:tcPr>
          <w:p w14:paraId="297EFC45">
            <w:pPr>
              <w:pStyle w:val="11"/>
              <w:rPr>
                <w:sz w:val="20"/>
              </w:rPr>
            </w:pPr>
          </w:p>
          <w:p w14:paraId="15E8887D">
            <w:pPr>
              <w:pStyle w:val="11"/>
              <w:spacing w:before="76"/>
              <w:rPr>
                <w:sz w:val="20"/>
              </w:rPr>
            </w:pPr>
          </w:p>
          <w:p w14:paraId="24416C84">
            <w:pPr>
              <w:pStyle w:val="11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14:00-</w:t>
            </w:r>
            <w:r>
              <w:rPr>
                <w:b/>
                <w:spacing w:val="-2"/>
                <w:sz w:val="20"/>
              </w:rPr>
              <w:t>17:00</w:t>
            </w:r>
          </w:p>
        </w:tc>
      </w:tr>
      <w:tr w14:paraId="4D22F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2DA2E72D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7A326822">
            <w:pPr>
              <w:pStyle w:val="8"/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rPr>
                <w:sz w:val="24"/>
              </w:rPr>
            </w:pPr>
            <w:r>
              <w:rPr>
                <w:rStyle w:val="6"/>
              </w:rPr>
              <w:t xml:space="preserve">seksiya. </w:t>
            </w:r>
            <w:r>
              <w:rPr>
                <w:rStyle w:val="6"/>
                <w:b w:val="0"/>
                <w:bCs w:val="0"/>
              </w:rPr>
              <w:t>“Strategiyalashdagi ilk qadamlar”</w:t>
            </w:r>
            <w:r>
              <w:rPr>
                <w:rStyle w:val="6"/>
                <w:rFonts w:hint="default"/>
                <w:b w:val="0"/>
                <w:bCs w:val="0"/>
                <w:lang w:val="ru-RU"/>
              </w:rPr>
              <w:t xml:space="preserve"> </w:t>
            </w:r>
          </w:p>
          <w:p w14:paraId="5AF8BC5A">
            <w:pPr>
              <w:pStyle w:val="8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sz w:val="24"/>
              </w:rPr>
            </w:pPr>
            <w:r>
              <w:rPr>
                <w:rStyle w:val="5"/>
                <w:i w:val="0"/>
                <w:iCs w:val="0"/>
              </w:rPr>
              <w:t>(bakalavriat talabalari, magistrantlar, doktorantlar va strategiyalash bo‘yicha ilmiy tadqiqotlar olib borayotgan yosh olimlar uchun)</w:t>
            </w:r>
            <w:r>
              <w:rPr>
                <w:i w:val="0"/>
                <w:iCs w:val="0"/>
              </w:rPr>
              <w:t xml:space="preserve"> </w:t>
            </w:r>
            <w:r>
              <w:rPr>
                <w:rStyle w:val="6"/>
                <w:i w:val="0"/>
                <w:iCs w:val="0"/>
              </w:rPr>
              <w:t>(masofaviy shaklda)</w:t>
            </w:r>
          </w:p>
        </w:tc>
        <w:tc>
          <w:tcPr>
            <w:tcW w:w="1408" w:type="dxa"/>
            <w:vMerge w:val="continue"/>
            <w:tcBorders>
              <w:top w:val="nil"/>
            </w:tcBorders>
          </w:tcPr>
          <w:p w14:paraId="2F3DFB2E">
            <w:pPr>
              <w:rPr>
                <w:sz w:val="2"/>
                <w:szCs w:val="2"/>
              </w:rPr>
            </w:pPr>
          </w:p>
        </w:tc>
      </w:tr>
      <w:tr w14:paraId="4F0DF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365" w:type="dxa"/>
            <w:vMerge w:val="continue"/>
            <w:tcBorders>
              <w:top w:val="nil"/>
            </w:tcBorders>
          </w:tcPr>
          <w:p w14:paraId="71584733">
            <w:pPr>
              <w:rPr>
                <w:sz w:val="2"/>
                <w:szCs w:val="2"/>
              </w:rPr>
            </w:pPr>
          </w:p>
        </w:tc>
        <w:tc>
          <w:tcPr>
            <w:tcW w:w="11898" w:type="dxa"/>
            <w:gridSpan w:val="2"/>
          </w:tcPr>
          <w:p w14:paraId="3655C749">
            <w:pPr>
              <w:pStyle w:val="11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Sessiyaning yopilishi</w:t>
            </w:r>
          </w:p>
        </w:tc>
      </w:tr>
    </w:tbl>
    <w:p w14:paraId="657091CD">
      <w:pPr>
        <w:pStyle w:val="2"/>
        <w:jc w:val="both"/>
        <w:rPr>
          <w:b w:val="0"/>
          <w:bCs w:val="0"/>
          <w:sz w:val="26"/>
          <w:szCs w:val="26"/>
        </w:rPr>
      </w:pPr>
    </w:p>
    <w:sectPr>
      <w:pgSz w:w="16840" w:h="11910" w:orient="landscape"/>
      <w:pgMar w:top="540" w:right="708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3BD03"/>
    <w:multiLevelType w:val="singleLevel"/>
    <w:tmpl w:val="85B3BD0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1">
    <w:nsid w:val="F0EA37BC"/>
    <w:multiLevelType w:val="singleLevel"/>
    <w:tmpl w:val="F0EA37BC"/>
    <w:lvl w:ilvl="0" w:tentative="0">
      <w:start w:val="2026"/>
      <w:numFmt w:val="decimal"/>
      <w:suff w:val="nothing"/>
      <w:lvlText w:val="%1-"/>
      <w:lvlJc w:val="left"/>
    </w:lvl>
  </w:abstractNum>
  <w:abstractNum w:abstractNumId="2">
    <w:nsid w:val="00648F86"/>
    <w:multiLevelType w:val="singleLevel"/>
    <w:tmpl w:val="00648F8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6"/>
        <w:szCs w:val="16"/>
      </w:rPr>
    </w:lvl>
  </w:abstractNum>
  <w:abstractNum w:abstractNumId="3">
    <w:nsid w:val="19DF24E4"/>
    <w:multiLevelType w:val="multilevel"/>
    <w:tmpl w:val="19DF24E4"/>
    <w:lvl w:ilvl="0" w:tentative="0">
      <w:start w:val="0"/>
      <w:numFmt w:val="bullet"/>
      <w:lvlText w:val=""/>
      <w:lvlJc w:val="left"/>
      <w:pPr>
        <w:ind w:left="251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5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0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35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1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2" w:hanging="284"/>
      </w:pPr>
      <w:rPr>
        <w:rFonts w:hint="default"/>
        <w:lang w:val="ru-RU" w:eastAsia="en-US" w:bidi="ar-SA"/>
      </w:rPr>
    </w:lvl>
  </w:abstractNum>
  <w:abstractNum w:abstractNumId="4">
    <w:nsid w:val="31A4C145"/>
    <w:multiLevelType w:val="singleLevel"/>
    <w:tmpl w:val="31A4C145"/>
    <w:lvl w:ilvl="0" w:tentative="0">
      <w:start w:val="2026"/>
      <w:numFmt w:val="decimal"/>
      <w:suff w:val="space"/>
      <w:lvlText w:val="%1-"/>
      <w:lvlJc w:val="left"/>
    </w:lvl>
  </w:abstractNum>
  <w:abstractNum w:abstractNumId="5">
    <w:nsid w:val="73030292"/>
    <w:multiLevelType w:val="multilevel"/>
    <w:tmpl w:val="73030292"/>
    <w:lvl w:ilvl="0" w:tentative="0">
      <w:start w:val="0"/>
      <w:numFmt w:val="bullet"/>
      <w:lvlText w:val=""/>
      <w:lvlJc w:val="left"/>
      <w:pPr>
        <w:ind w:left="251" w:hanging="140"/>
      </w:pPr>
      <w:rPr>
        <w:rFonts w:hint="default" w:ascii="Symbol" w:hAnsi="Symbol" w:eastAsia="Symbol" w:cs="Symbol"/>
        <w:b w:val="0"/>
        <w:bCs w:val="0"/>
        <w:i w:val="0"/>
        <w:iCs w:val="0"/>
        <w:spacing w:val="29"/>
        <w:w w:val="81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6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2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1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6" w:hanging="140"/>
      </w:pPr>
      <w:rPr>
        <w:rFonts w:hint="default"/>
        <w:lang w:val="ru-RU" w:eastAsia="en-US" w:bidi="ar-SA"/>
      </w:rPr>
    </w:lvl>
  </w:abstractNum>
  <w:abstractNum w:abstractNumId="6">
    <w:nsid w:val="7DE6FD7E"/>
    <w:multiLevelType w:val="singleLevel"/>
    <w:tmpl w:val="7DE6FD7E"/>
    <w:lvl w:ilvl="0" w:tentative="0">
      <w:start w:val="5"/>
      <w:numFmt w:val="decimal"/>
      <w:suff w:val="nothing"/>
      <w:lvlText w:val="%1-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A0119D"/>
    <w:rsid w:val="005E4477"/>
    <w:rsid w:val="00763C61"/>
    <w:rsid w:val="0082717C"/>
    <w:rsid w:val="00A00FC2"/>
    <w:rsid w:val="00A0119D"/>
    <w:rsid w:val="00B02D20"/>
    <w:rsid w:val="02451581"/>
    <w:rsid w:val="0A651ABC"/>
    <w:rsid w:val="183656DB"/>
    <w:rsid w:val="19EE7B83"/>
    <w:rsid w:val="1C3041CB"/>
    <w:rsid w:val="203264F4"/>
    <w:rsid w:val="23AC41A6"/>
    <w:rsid w:val="255D7BDB"/>
    <w:rsid w:val="4AF64818"/>
    <w:rsid w:val="5B6E2B54"/>
    <w:rsid w:val="5DF35AB3"/>
    <w:rsid w:val="644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6"/>
      <w:ind w:left="12" w:right="16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443</Words>
  <Characters>3780</Characters>
  <Lines>14</Lines>
  <Paragraphs>4</Paragraphs>
  <TotalTime>0</TotalTime>
  <ScaleCrop>false</ScaleCrop>
  <LinksUpToDate>false</LinksUpToDate>
  <CharactersWithSpaces>4150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2026-09-06T16:25:00Z</dcterms:created>
  <dc:creator>Учетная запись Майкрософт</dc:creator>
  <cp:lastModifiedBy>WPS_1634645983</cp:lastModifiedBy>
  <cp:lastPrinted>2026-09-08T16:25:00Z</cp:lastPrinted>
  <dcterms:modified xsi:type="dcterms:W3CDTF">2026-09-09T07:20:50Z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2016</vt:lpwstr>
  </property>
  <property fmtid="{D5CDD505-2E9C-101B-9397-08002B2CF9AE}" pid="7" name="KSOTemplateDocerSaveRecord">
    <vt:lpwstr>eyJoZGlkIjoiZWMzYWM3Mjk4OTY2Y2U5MTM2YTU3NTc0NzJhZTM1N2UiLCJ1c2VySWQiOiI4ODEzNTY3MzQwMDg5In0=</vt:lpwstr>
  </property>
  <property fmtid="{D5CDD505-2E9C-101B-9397-08002B2CF9AE}" pid="8" name="KSOProductBuildVer">
    <vt:lpwstr>1049-12.1.0.27458</vt:lpwstr>
  </property>
  <property fmtid="{D5CDD505-2E9C-101B-9397-08002B2CF9AE}" pid="9" name="ICV">
    <vt:lpwstr>40258247647B4110A9673A51FA4D2600_12</vt:lpwstr>
  </property>
</Properties>
</file>