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D1046">
      <w:pPr>
        <w:spacing w:after="0"/>
        <w:jc w:val="center"/>
        <w:rPr>
          <w:rFonts w:ascii="Times New Roman" w:hAnsi="Times New Roman" w:cs="Times New Roman"/>
          <w:b/>
          <w:color w:val="000000"/>
          <w:sz w:val="23"/>
          <w:szCs w:val="23"/>
        </w:rPr>
      </w:pPr>
      <w:r>
        <w:rPr>
          <w:rFonts w:ascii="Times New Roman" w:hAnsi="Times New Roman" w:cs="Times New Roman"/>
          <w:b/>
          <w:color w:val="000000"/>
          <w:sz w:val="23"/>
          <w:szCs w:val="23"/>
          <w:lang w:val="en-US"/>
        </w:rPr>
        <w:t>IX</w:t>
      </w:r>
      <w:r>
        <w:rPr>
          <w:rFonts w:ascii="Times New Roman" w:hAnsi="Times New Roman" w:cs="Times New Roman"/>
          <w:b/>
          <w:color w:val="000000"/>
          <w:sz w:val="23"/>
          <w:szCs w:val="23"/>
        </w:rPr>
        <w:t xml:space="preserve"> Международная научно-практическая конференция</w:t>
      </w:r>
    </w:p>
    <w:p w14:paraId="27990221">
      <w:pPr>
        <w:jc w:val="center"/>
        <w:rPr>
          <w:rFonts w:ascii="Times New Roman" w:hAnsi="Times New Roman" w:cs="Times New Roman"/>
          <w:b/>
          <w:color w:val="000000"/>
          <w:sz w:val="23"/>
          <w:szCs w:val="23"/>
          <w:lang w:val="uz-Cyrl-UZ"/>
        </w:rPr>
      </w:pPr>
      <w:r>
        <w:rPr>
          <w:rFonts w:ascii="Times New Roman" w:hAnsi="Times New Roman" w:cs="Times New Roman"/>
          <w:b/>
          <w:color w:val="000000"/>
          <w:sz w:val="23"/>
          <w:szCs w:val="23"/>
        </w:rPr>
        <w:t>"Теория и практика стратегирования"</w:t>
      </w:r>
    </w:p>
    <w:p w14:paraId="40499C20">
      <w:pPr>
        <w:pStyle w:val="2"/>
        <w:jc w:val="center"/>
        <w:rPr>
          <w:i/>
          <w:sz w:val="26"/>
          <w:szCs w:val="26"/>
          <w:lang w:val="uz-Cyrl-UZ"/>
        </w:rPr>
      </w:pPr>
      <w:r>
        <w:rPr>
          <w:sz w:val="26"/>
          <w:szCs w:val="26"/>
        </w:rPr>
        <w:t>«</w:t>
      </w:r>
      <w:r>
        <w:rPr>
          <w:i/>
          <w:sz w:val="26"/>
          <w:szCs w:val="26"/>
        </w:rPr>
        <w:t xml:space="preserve">ЦЕНТРАЛЬНО-АЗИАТСКИЙ УНИВЕРСИТАРИУМ СТРАТЕГА», </w:t>
      </w:r>
    </w:p>
    <w:p w14:paraId="38C06EB8">
      <w:pPr>
        <w:pStyle w:val="2"/>
        <w:jc w:val="center"/>
        <w:rPr>
          <w:b w:val="0"/>
          <w:i/>
          <w:sz w:val="26"/>
          <w:szCs w:val="26"/>
        </w:rPr>
      </w:pPr>
      <w:r>
        <w:rPr>
          <w:b w:val="0"/>
          <w:i/>
          <w:sz w:val="26"/>
          <w:szCs w:val="26"/>
        </w:rPr>
        <w:t>посвящённый памяти выдающегося учёного, академика Б.С. Юлдашева, президента Академии наук Республики Узбекистан.</w:t>
      </w:r>
    </w:p>
    <w:p w14:paraId="3D4BFF26">
      <w:pPr>
        <w:spacing w:after="0"/>
        <w:jc w:val="center"/>
        <w:rPr>
          <w:rFonts w:ascii="Times New Roman" w:hAnsi="Times New Roman" w:cs="Times New Roman"/>
          <w:sz w:val="23"/>
          <w:szCs w:val="23"/>
        </w:rPr>
      </w:pPr>
    </w:p>
    <w:p w14:paraId="013DC4D3">
      <w:pPr>
        <w:jc w:val="center"/>
        <w:rPr>
          <w:rFonts w:ascii="Times New Roman" w:hAnsi="Times New Roman" w:cs="Times New Roman"/>
          <w:b/>
          <w:color w:val="000000"/>
          <w:sz w:val="23"/>
          <w:szCs w:val="23"/>
        </w:rPr>
      </w:pPr>
      <w:r>
        <w:rPr>
          <w:rFonts w:ascii="Times New Roman" w:hAnsi="Times New Roman" w:cs="Times New Roman"/>
          <w:sz w:val="23"/>
          <w:szCs w:val="23"/>
        </w:rPr>
        <w:t>(</w:t>
      </w:r>
      <w:r>
        <w:rPr>
          <w:rFonts w:ascii="Times New Roman" w:hAnsi="Times New Roman" w:cs="Times New Roman"/>
          <w:b/>
          <w:i/>
          <w:sz w:val="23"/>
          <w:szCs w:val="23"/>
          <w:lang w:val="uz-Cyrl-UZ"/>
        </w:rPr>
        <w:t>4</w:t>
      </w:r>
      <w:r>
        <w:rPr>
          <w:rFonts w:ascii="Times New Roman" w:hAnsi="Times New Roman" w:cs="Times New Roman"/>
          <w:b/>
          <w:i/>
          <w:sz w:val="23"/>
          <w:szCs w:val="23"/>
        </w:rPr>
        <w:t>-</w:t>
      </w:r>
      <w:r>
        <w:rPr>
          <w:rFonts w:ascii="Times New Roman" w:hAnsi="Times New Roman" w:cs="Times New Roman"/>
          <w:b/>
          <w:i/>
          <w:sz w:val="23"/>
          <w:szCs w:val="23"/>
          <w:lang w:val="uz-Cyrl-UZ"/>
        </w:rPr>
        <w:t>5 НОЯБРЯ</w:t>
      </w:r>
      <w:r>
        <w:rPr>
          <w:rFonts w:ascii="Times New Roman" w:hAnsi="Times New Roman" w:cs="Times New Roman"/>
          <w:b/>
          <w:sz w:val="23"/>
          <w:szCs w:val="23"/>
        </w:rPr>
        <w:t xml:space="preserve"> 2026</w:t>
      </w:r>
      <w:r>
        <w:rPr>
          <w:rFonts w:ascii="Times New Roman" w:hAnsi="Times New Roman" w:cs="Times New Roman"/>
          <w:sz w:val="23"/>
          <w:szCs w:val="23"/>
        </w:rPr>
        <w:t>)</w:t>
      </w:r>
    </w:p>
    <w:p w14:paraId="034E81C1">
      <w:pPr>
        <w:jc w:val="center"/>
        <w:rPr>
          <w:rFonts w:ascii="Times New Roman" w:hAnsi="Times New Roman" w:cs="Times New Roman"/>
          <w:b/>
          <w:color w:val="000000"/>
          <w:sz w:val="23"/>
          <w:szCs w:val="23"/>
        </w:rPr>
      </w:pPr>
      <w:r>
        <w:rPr>
          <w:rFonts w:ascii="Times New Roman" w:hAnsi="Times New Roman" w:cs="Times New Roman"/>
          <w:b/>
          <w:color w:val="000000"/>
          <w:sz w:val="23"/>
          <w:szCs w:val="23"/>
        </w:rPr>
        <w:t xml:space="preserve">ОБЩИЕ ТРЕБОВАНИЯ К СТАТЬЯМ </w:t>
      </w:r>
    </w:p>
    <w:p w14:paraId="2F55DC0A">
      <w:pPr>
        <w:pStyle w:val="11"/>
        <w:numPr>
          <w:ilvl w:val="0"/>
          <w:numId w:val="1"/>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Сроки подачи статей для сборника </w:t>
      </w:r>
      <w:r>
        <w:rPr>
          <w:rFonts w:ascii="Times New Roman" w:hAnsi="Times New Roman" w:cs="Times New Roman"/>
          <w:color w:val="000000"/>
          <w:sz w:val="23"/>
          <w:szCs w:val="23"/>
          <w:lang w:val="uz-Cyrl-UZ"/>
        </w:rPr>
        <w:t xml:space="preserve"> </w:t>
      </w:r>
      <w:r>
        <w:rPr>
          <w:rFonts w:ascii="Times New Roman" w:hAnsi="Times New Roman" w:cs="Times New Roman"/>
          <w:b/>
          <w:color w:val="000000"/>
          <w:sz w:val="23"/>
          <w:szCs w:val="23"/>
          <w:lang w:val="uz-Cyrl-UZ"/>
        </w:rPr>
        <w:t>до 20 октября</w:t>
      </w:r>
      <w:r>
        <w:rPr>
          <w:rFonts w:ascii="Times New Roman" w:hAnsi="Times New Roman" w:cs="Times New Roman"/>
          <w:color w:val="000000"/>
          <w:sz w:val="23"/>
          <w:szCs w:val="23"/>
          <w:lang w:val="uz-Cyrl-UZ"/>
        </w:rPr>
        <w:t xml:space="preserve"> </w:t>
      </w:r>
      <w:r>
        <w:rPr>
          <w:rFonts w:ascii="Times New Roman" w:hAnsi="Times New Roman" w:cs="Times New Roman"/>
          <w:b/>
          <w:color w:val="000000"/>
          <w:sz w:val="23"/>
          <w:szCs w:val="23"/>
        </w:rPr>
        <w:t>2026</w:t>
      </w:r>
      <w:r>
        <w:rPr>
          <w:rFonts w:ascii="Times New Roman" w:hAnsi="Times New Roman" w:cs="Times New Roman"/>
          <w:b/>
          <w:color w:val="000000"/>
          <w:sz w:val="23"/>
          <w:szCs w:val="23"/>
          <w:lang w:val="uz-Cyrl-UZ"/>
        </w:rPr>
        <w:t xml:space="preserve"> г.</w:t>
      </w:r>
    </w:p>
    <w:p w14:paraId="5F8E4AC5">
      <w:pPr>
        <w:pStyle w:val="11"/>
        <w:numPr>
          <w:ilvl w:val="0"/>
          <w:numId w:val="1"/>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Статья должна носить </w:t>
      </w:r>
      <w:r>
        <w:rPr>
          <w:rFonts w:ascii="Times New Roman" w:hAnsi="Times New Roman" w:cs="Times New Roman"/>
          <w:b/>
          <w:color w:val="000000"/>
          <w:sz w:val="23"/>
          <w:szCs w:val="23"/>
        </w:rPr>
        <w:t xml:space="preserve">стратегический характер, </w:t>
      </w:r>
      <w:r>
        <w:rPr>
          <w:rFonts w:ascii="Times New Roman" w:hAnsi="Times New Roman" w:cs="Times New Roman"/>
          <w:color w:val="000000"/>
          <w:sz w:val="23"/>
          <w:szCs w:val="23"/>
        </w:rPr>
        <w:t xml:space="preserve">опираться на труды </w:t>
      </w:r>
      <w:r>
        <w:rPr>
          <w:rFonts w:ascii="Times New Roman" w:hAnsi="Times New Roman" w:cs="Times New Roman"/>
          <w:b/>
          <w:color w:val="000000"/>
          <w:sz w:val="23"/>
          <w:szCs w:val="23"/>
        </w:rPr>
        <w:t>общей теории стратегии и методологии стратегирования</w:t>
      </w:r>
      <w:r>
        <w:rPr>
          <w:rFonts w:ascii="Times New Roman" w:hAnsi="Times New Roman" w:cs="Times New Roman"/>
          <w:color w:val="000000"/>
          <w:sz w:val="23"/>
          <w:szCs w:val="23"/>
        </w:rPr>
        <w:t>, основоположником которых является академик, Иностранный член РАН В.Л. Квинт, и разработанных в Центре стратегических исследований Института математических исследований сложных систем и на кафедре экономической и финансовой стратегии Московской школы экономики МГУ имени М.В. Ломоносова. В связи с этим необходимым является изучение и использование основных трудов отечественной школы стратегирования в исследовании.</w:t>
      </w:r>
    </w:p>
    <w:p w14:paraId="392A5B5B">
      <w:pPr>
        <w:pStyle w:val="11"/>
        <w:numPr>
          <w:ilvl w:val="0"/>
          <w:numId w:val="1"/>
        </w:numPr>
        <w:jc w:val="both"/>
        <w:rPr>
          <w:rFonts w:ascii="Times New Roman" w:hAnsi="Times New Roman" w:cs="Times New Roman"/>
          <w:color w:val="000000"/>
          <w:sz w:val="23"/>
          <w:szCs w:val="23"/>
        </w:rPr>
      </w:pPr>
      <w:r>
        <w:rPr>
          <w:rFonts w:ascii="Times New Roman" w:hAnsi="Times New Roman" w:cs="Times New Roman"/>
          <w:color w:val="000000"/>
          <w:sz w:val="23"/>
          <w:szCs w:val="23"/>
        </w:rPr>
        <w:t>Название выбранной секции сессии "</w:t>
      </w:r>
      <w:r>
        <w:rPr>
          <w:rFonts w:ascii="Times New Roman" w:hAnsi="Times New Roman" w:cs="Times New Roman"/>
          <w:b/>
          <w:color w:val="000000"/>
          <w:sz w:val="23"/>
          <w:szCs w:val="23"/>
        </w:rPr>
        <w:t>ЦЕНТРАЛЬНО-АЗИАТСКИЙ УНИВЕРСИТАРИУМ СТРАТЕГА</w:t>
      </w:r>
      <w:r>
        <w:rPr>
          <w:rFonts w:ascii="Times New Roman" w:hAnsi="Times New Roman" w:cs="Times New Roman"/>
          <w:color w:val="000000"/>
          <w:sz w:val="23"/>
          <w:szCs w:val="23"/>
        </w:rPr>
        <w:t>"</w:t>
      </w:r>
    </w:p>
    <w:p w14:paraId="68BF1552">
      <w:pPr>
        <w:pStyle w:val="11"/>
        <w:numPr>
          <w:ilvl w:val="0"/>
          <w:numId w:val="1"/>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Участие в секции </w:t>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Первые шаги в стратегировании</w:t>
      </w:r>
      <w:r>
        <w:rPr>
          <w:rFonts w:ascii="Times New Roman" w:hAnsi="Times New Roman" w:eastAsia="Times New Roman" w:cs="Times New Roman"/>
          <w:color w:val="000000"/>
          <w:sz w:val="24"/>
          <w:szCs w:val="24"/>
        </w:rPr>
        <w:t>» возможно только с научным руководителем (</w:t>
      </w:r>
      <w:r>
        <w:rPr>
          <w:rFonts w:ascii="Times New Roman" w:hAnsi="Times New Roman" w:eastAsia="Times New Roman" w:cs="Times New Roman"/>
          <w:color w:val="FF0000"/>
          <w:sz w:val="24"/>
          <w:szCs w:val="24"/>
          <w:u w:val="single"/>
        </w:rPr>
        <w:t>указывается сноской в заголовке статьи</w:t>
      </w:r>
      <w:r>
        <w:rPr>
          <w:rFonts w:ascii="Times New Roman" w:hAnsi="Times New Roman" w:eastAsia="Times New Roman" w:cs="Times New Roman"/>
          <w:color w:val="000000"/>
          <w:sz w:val="24"/>
          <w:szCs w:val="24"/>
        </w:rPr>
        <w:t>);</w:t>
      </w:r>
    </w:p>
    <w:p w14:paraId="5DE31468">
      <w:pPr>
        <w:pStyle w:val="11"/>
        <w:numPr>
          <w:ilvl w:val="0"/>
          <w:numId w:val="1"/>
        </w:numPr>
        <w:jc w:val="both"/>
        <w:rPr>
          <w:rFonts w:ascii="Times New Roman" w:hAnsi="Times New Roman" w:cs="Times New Roman"/>
          <w:color w:val="000000"/>
          <w:sz w:val="23"/>
          <w:szCs w:val="23"/>
        </w:rPr>
      </w:pPr>
      <w:r>
        <w:rPr>
          <w:rFonts w:ascii="Times New Roman" w:hAnsi="Times New Roman" w:cs="Times New Roman"/>
          <w:sz w:val="23"/>
          <w:szCs w:val="23"/>
        </w:rPr>
        <w:t xml:space="preserve">В конце каждой статьи после списка литературы указывается фраза, подтверждающая, что текст автором проверен, вычитан и не содержит сведений ограниченного распространения: </w:t>
      </w:r>
      <w:r>
        <w:rPr>
          <w:rFonts w:ascii="Times New Roman" w:hAnsi="Times New Roman" w:cs="Times New Roman"/>
          <w:b/>
          <w:i/>
          <w:sz w:val="23"/>
          <w:szCs w:val="23"/>
        </w:rPr>
        <w:t>«Материал выверен, цифры, факты, цитаты сверены с первоисточником, материал не содержит сведений ограниченного распространения»</w:t>
      </w:r>
      <w:r>
        <w:rPr>
          <w:rFonts w:ascii="Times New Roman" w:hAnsi="Times New Roman" w:cs="Times New Roman"/>
          <w:sz w:val="23"/>
          <w:szCs w:val="23"/>
        </w:rPr>
        <w:t>.</w:t>
      </w:r>
    </w:p>
    <w:p w14:paraId="39C24F53">
      <w:pPr>
        <w:pStyle w:val="11"/>
        <w:numPr>
          <w:ilvl w:val="0"/>
          <w:numId w:val="1"/>
        </w:numPr>
        <w:jc w:val="both"/>
        <w:rPr>
          <w:rFonts w:ascii="Times New Roman" w:hAnsi="Times New Roman" w:cs="Times New Roman"/>
          <w:color w:val="000000"/>
          <w:sz w:val="23"/>
          <w:szCs w:val="23"/>
        </w:rPr>
      </w:pPr>
      <w:r>
        <w:rPr>
          <w:rFonts w:ascii="Times New Roman" w:hAnsi="Times New Roman" w:cs="Times New Roman"/>
          <w:sz w:val="23"/>
          <w:szCs w:val="23"/>
        </w:rPr>
        <w:t>Любое подозрение на использование искусственного интеллекта (</w:t>
      </w:r>
      <w:r>
        <w:rPr>
          <w:rFonts w:ascii="Times New Roman" w:hAnsi="Times New Roman" w:cs="Times New Roman"/>
          <w:color w:val="EE0000"/>
          <w:sz w:val="23"/>
          <w:szCs w:val="23"/>
        </w:rPr>
        <w:t>в частности, в списках литературы</w:t>
      </w:r>
      <w:r>
        <w:rPr>
          <w:rFonts w:ascii="Times New Roman" w:hAnsi="Times New Roman" w:cs="Times New Roman"/>
          <w:sz w:val="23"/>
          <w:szCs w:val="23"/>
        </w:rPr>
        <w:t>) позволяет организаторам не рассматривать статью и снимать доклад с участия в конференции.</w:t>
      </w:r>
    </w:p>
    <w:p w14:paraId="674024F1">
      <w:pPr>
        <w:jc w:val="center"/>
        <w:rPr>
          <w:rFonts w:ascii="Times New Roman" w:hAnsi="Times New Roman" w:cs="Times New Roman"/>
          <w:color w:val="000000"/>
          <w:sz w:val="23"/>
          <w:szCs w:val="23"/>
        </w:rPr>
      </w:pPr>
      <w:r>
        <w:rPr>
          <w:rFonts w:ascii="Times New Roman" w:hAnsi="Times New Roman" w:cs="Times New Roman"/>
          <w:b/>
          <w:color w:val="000000"/>
          <w:sz w:val="23"/>
          <w:szCs w:val="23"/>
        </w:rPr>
        <w:t>ТРЕБОВАНИЯ К ОФОРМЛЕНИЮ СТАТЕЙ</w:t>
      </w:r>
    </w:p>
    <w:p w14:paraId="030506C7">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Для публикации принимается целостный материал научного содержания, включающий результаты оригинальных исследований автора, ранее не опубликованных (не менее 80 % текста должно быть оригинальным).</w:t>
      </w:r>
    </w:p>
    <w:p w14:paraId="140D17AD">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Объем текста – от 4</w:t>
      </w:r>
      <w:r>
        <w:rPr>
          <w:rFonts w:ascii="Times New Roman" w:hAnsi="Times New Roman" w:cs="Times New Roman"/>
          <w:color w:val="FF0000"/>
          <w:sz w:val="23"/>
          <w:szCs w:val="23"/>
        </w:rPr>
        <w:t xml:space="preserve"> </w:t>
      </w:r>
      <w:r>
        <w:rPr>
          <w:rFonts w:ascii="Times New Roman" w:hAnsi="Times New Roman" w:cs="Times New Roman"/>
          <w:sz w:val="23"/>
          <w:szCs w:val="23"/>
        </w:rPr>
        <w:t xml:space="preserve">до 6 полных </w:t>
      </w:r>
      <w:r>
        <w:rPr>
          <w:rFonts w:ascii="Times New Roman" w:hAnsi="Times New Roman" w:cs="Times New Roman"/>
          <w:color w:val="000000"/>
          <w:sz w:val="23"/>
          <w:szCs w:val="23"/>
        </w:rPr>
        <w:t>страницы (</w:t>
      </w:r>
      <w:r>
        <w:rPr>
          <w:rFonts w:ascii="Times New Roman" w:hAnsi="Times New Roman" w:cs="Times New Roman"/>
          <w:b/>
          <w:color w:val="000000"/>
          <w:sz w:val="23"/>
          <w:szCs w:val="23"/>
        </w:rPr>
        <w:t>без учета метаданных, аннотации и списка литературы</w:t>
      </w:r>
      <w:r>
        <w:rPr>
          <w:rFonts w:ascii="Times New Roman" w:hAnsi="Times New Roman" w:cs="Times New Roman"/>
          <w:color w:val="000000"/>
          <w:sz w:val="23"/>
          <w:szCs w:val="23"/>
        </w:rPr>
        <w:t xml:space="preserve">), строго </w:t>
      </w:r>
      <w:r>
        <w:rPr>
          <w:rFonts w:ascii="Times New Roman" w:hAnsi="Times New Roman" w:cs="Times New Roman"/>
          <w:b/>
          <w:color w:val="000000"/>
          <w:sz w:val="23"/>
          <w:szCs w:val="23"/>
          <w:u w:val="single"/>
        </w:rPr>
        <w:t>формат листа А5</w:t>
      </w:r>
      <w:r>
        <w:rPr>
          <w:rFonts w:ascii="Times New Roman" w:hAnsi="Times New Roman" w:cs="Times New Roman"/>
          <w:color w:val="000000"/>
          <w:sz w:val="23"/>
          <w:szCs w:val="23"/>
        </w:rPr>
        <w:t xml:space="preserve"> (</w:t>
      </w:r>
      <w:r>
        <w:rPr>
          <w:rFonts w:ascii="Times New Roman" w:hAnsi="Times New Roman" w:cs="Times New Roman"/>
          <w:b/>
          <w:color w:val="000000"/>
          <w:sz w:val="23"/>
          <w:szCs w:val="23"/>
        </w:rPr>
        <w:t>Word – 97-2003</w:t>
      </w:r>
      <w:r>
        <w:rPr>
          <w:rFonts w:ascii="Times New Roman" w:hAnsi="Times New Roman" w:cs="Times New Roman"/>
          <w:color w:val="000000"/>
          <w:sz w:val="23"/>
          <w:szCs w:val="23"/>
        </w:rPr>
        <w:t xml:space="preserve">), поля – 2 см по всем сторонам; шрифт </w:t>
      </w:r>
      <w:r>
        <w:rPr>
          <w:rFonts w:ascii="Times New Roman" w:hAnsi="Times New Roman" w:cs="Times New Roman"/>
          <w:color w:val="000000"/>
          <w:sz w:val="23"/>
          <w:szCs w:val="23"/>
          <w:lang w:val="en-US"/>
        </w:rPr>
        <w:t>Times</w:t>
      </w:r>
      <w:r>
        <w:rPr>
          <w:rFonts w:ascii="Times New Roman" w:hAnsi="Times New Roman" w:cs="Times New Roman"/>
          <w:color w:val="000000"/>
          <w:sz w:val="23"/>
          <w:szCs w:val="23"/>
        </w:rPr>
        <w:t xml:space="preserve"> </w:t>
      </w:r>
      <w:r>
        <w:rPr>
          <w:rFonts w:ascii="Times New Roman" w:hAnsi="Times New Roman" w:cs="Times New Roman"/>
          <w:color w:val="000000"/>
          <w:sz w:val="23"/>
          <w:szCs w:val="23"/>
          <w:lang w:val="en-US"/>
        </w:rPr>
        <w:t>New</w:t>
      </w:r>
      <w:r>
        <w:rPr>
          <w:rFonts w:ascii="Times New Roman" w:hAnsi="Times New Roman" w:cs="Times New Roman"/>
          <w:color w:val="000000"/>
          <w:sz w:val="23"/>
          <w:szCs w:val="23"/>
        </w:rPr>
        <w:t xml:space="preserve"> </w:t>
      </w:r>
      <w:r>
        <w:rPr>
          <w:rFonts w:ascii="Times New Roman" w:hAnsi="Times New Roman" w:cs="Times New Roman"/>
          <w:color w:val="000000"/>
          <w:sz w:val="23"/>
          <w:szCs w:val="23"/>
          <w:lang w:val="en-US"/>
        </w:rPr>
        <w:t>Roman</w:t>
      </w:r>
      <w:r>
        <w:rPr>
          <w:rFonts w:ascii="Times New Roman" w:hAnsi="Times New Roman" w:cs="Times New Roman"/>
          <w:color w:val="000000"/>
          <w:sz w:val="23"/>
          <w:szCs w:val="23"/>
        </w:rPr>
        <w:t xml:space="preserve">, размер шрифта – 11, межстрочный интервал – одинарный; автоматический перенос текста </w:t>
      </w:r>
      <w:r>
        <w:rPr>
          <w:rFonts w:ascii="Times New Roman" w:hAnsi="Times New Roman" w:cs="Times New Roman"/>
          <w:b/>
          <w:color w:val="000000"/>
          <w:sz w:val="23"/>
          <w:szCs w:val="23"/>
        </w:rPr>
        <w:t>запрещен</w:t>
      </w:r>
      <w:r>
        <w:rPr>
          <w:rFonts w:ascii="Times New Roman" w:hAnsi="Times New Roman" w:cs="Times New Roman"/>
          <w:color w:val="000000"/>
          <w:sz w:val="23"/>
          <w:szCs w:val="23"/>
        </w:rPr>
        <w:t>.</w:t>
      </w:r>
    </w:p>
    <w:p w14:paraId="67A57E59">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Необходимо указать название на русском и английском языке – шрифт жирный, заглавными буквами, выравнивание по центру;</w:t>
      </w:r>
    </w:p>
    <w:p w14:paraId="41CDDF58">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ФИО авторов на русском и английском языке – шрифт жирный, курсив, выравнивание по правому краю; Полная информация об авторах отображается в </w:t>
      </w:r>
      <w:r>
        <w:rPr>
          <w:rFonts w:ascii="Times New Roman" w:hAnsi="Times New Roman" w:cs="Times New Roman"/>
          <w:b/>
          <w:color w:val="000000"/>
          <w:sz w:val="23"/>
          <w:szCs w:val="23"/>
        </w:rPr>
        <w:t>конце статьи</w:t>
      </w:r>
      <w:r>
        <w:rPr>
          <w:rFonts w:ascii="Times New Roman" w:hAnsi="Times New Roman" w:cs="Times New Roman"/>
          <w:color w:val="000000"/>
          <w:sz w:val="23"/>
          <w:szCs w:val="23"/>
        </w:rPr>
        <w:t xml:space="preserve"> в отдельной табличке. </w:t>
      </w:r>
    </w:p>
    <w:tbl>
      <w:tblPr>
        <w:tblStyle w:val="10"/>
        <w:tblW w:w="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3718"/>
      </w:tblGrid>
      <w:tr w14:paraId="181EC5A3">
        <w:tblPrEx>
          <w:tblCellMar>
            <w:top w:w="0" w:type="dxa"/>
            <w:left w:w="108" w:type="dxa"/>
            <w:bottom w:w="0" w:type="dxa"/>
            <w:right w:w="108" w:type="dxa"/>
          </w:tblCellMar>
        </w:tblPrEx>
        <w:trPr>
          <w:trHeight w:val="616" w:hRule="atLeast"/>
          <w:jc w:val="center"/>
        </w:trPr>
        <w:tc>
          <w:tcPr>
            <w:tcW w:w="1419" w:type="dxa"/>
          </w:tcPr>
          <w:p w14:paraId="7ABD9B58">
            <w:pPr>
              <w:pStyle w:val="12"/>
              <w:jc w:val="both"/>
              <w:rPr>
                <w:sz w:val="22"/>
                <w:szCs w:val="22"/>
              </w:rPr>
            </w:pPr>
            <w:r>
              <w:rPr>
                <w:b/>
                <w:bCs/>
                <w:sz w:val="22"/>
                <w:szCs w:val="22"/>
              </w:rPr>
              <w:t xml:space="preserve">Автор </w:t>
            </w:r>
          </w:p>
          <w:p w14:paraId="11D72686">
            <w:pPr>
              <w:spacing w:after="0" w:line="240" w:lineRule="auto"/>
              <w:jc w:val="both"/>
              <w:rPr>
                <w:rFonts w:ascii="Times New Roman" w:hAnsi="Times New Roman" w:cs="Times New Roman" w:eastAsiaTheme="minorHAnsi"/>
                <w:b/>
                <w:lang w:eastAsia="en-US"/>
              </w:rPr>
            </w:pPr>
          </w:p>
        </w:tc>
        <w:tc>
          <w:tcPr>
            <w:tcW w:w="3718" w:type="dxa"/>
          </w:tcPr>
          <w:p w14:paraId="35B99AB5">
            <w:pPr>
              <w:spacing w:after="0" w:line="240" w:lineRule="auto"/>
              <w:jc w:val="both"/>
              <w:rPr>
                <w:rFonts w:ascii="Times New Roman" w:hAnsi="Times New Roman" w:cs="Times New Roman" w:eastAsiaTheme="minorHAnsi"/>
                <w:b/>
                <w:lang w:eastAsia="en-US"/>
              </w:rPr>
            </w:pPr>
            <w:r>
              <w:rPr>
                <w:rFonts w:ascii="Times New Roman" w:hAnsi="Times New Roman" w:cs="Times New Roman" w:eastAsiaTheme="minorHAnsi"/>
                <w:b/>
                <w:lang w:eastAsia="en-US"/>
              </w:rPr>
              <w:t>Информация об авторе</w:t>
            </w:r>
          </w:p>
        </w:tc>
      </w:tr>
      <w:tr w14:paraId="18FE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tcPr>
          <w:p w14:paraId="3BAFE562">
            <w:pPr>
              <w:spacing w:after="0" w:line="240" w:lineRule="auto"/>
              <w:jc w:val="both"/>
              <w:rPr>
                <w:rFonts w:ascii="Times New Roman" w:hAnsi="Times New Roman" w:cs="Times New Roman" w:eastAsiaTheme="minorHAnsi"/>
                <w:lang w:eastAsia="en-US"/>
              </w:rPr>
            </w:pPr>
            <w:r>
              <w:rPr>
                <w:rFonts w:ascii="Times New Roman" w:hAnsi="Times New Roman" w:cs="Times New Roman" w:eastAsiaTheme="minorHAnsi"/>
                <w:lang w:eastAsia="en-US"/>
              </w:rPr>
              <w:t>Фамилия, имя, отчество полностью</w:t>
            </w:r>
          </w:p>
        </w:tc>
        <w:tc>
          <w:tcPr>
            <w:tcW w:w="3718" w:type="dxa"/>
          </w:tcPr>
          <w:p w14:paraId="03142A9D">
            <w:pPr>
              <w:spacing w:after="0" w:line="240" w:lineRule="auto"/>
              <w:jc w:val="both"/>
              <w:rPr>
                <w:rFonts w:ascii="Times New Roman" w:hAnsi="Times New Roman" w:cs="Times New Roman" w:eastAsiaTheme="minorHAnsi"/>
                <w:lang w:eastAsia="en-US"/>
              </w:rPr>
            </w:pPr>
            <w:r>
              <w:rPr>
                <w:rFonts w:ascii="Times New Roman" w:hAnsi="Times New Roman" w:cs="Times New Roman" w:eastAsiaTheme="minorHAnsi"/>
                <w:lang w:eastAsia="en-US"/>
              </w:rPr>
              <w:t>ученая степень, ученое звание, другие звания, должность, место работы, страна, город, электронная почта</w:t>
            </w:r>
          </w:p>
        </w:tc>
      </w:tr>
    </w:tbl>
    <w:p w14:paraId="32250859">
      <w:pPr>
        <w:pStyle w:val="11"/>
        <w:jc w:val="both"/>
        <w:rPr>
          <w:rFonts w:ascii="Times New Roman" w:hAnsi="Times New Roman" w:cs="Times New Roman"/>
          <w:color w:val="000000"/>
          <w:sz w:val="23"/>
          <w:szCs w:val="23"/>
        </w:rPr>
      </w:pPr>
    </w:p>
    <w:p w14:paraId="1B6E8F96">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Текст аннотации на русском/узбекском и английском языке - шрифт обычный, выравнивание по ширине, общий объем не более 1 страницы; ключевые слова на русском и английском языке, не более 5;</w:t>
      </w:r>
    </w:p>
    <w:p w14:paraId="003BA491">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Текст статьи – шрифт обычный, выравнивание по ширине, межстрочный интервал – одинарный, язык – </w:t>
      </w:r>
      <w:r>
        <w:rPr>
          <w:rFonts w:ascii="Times New Roman" w:hAnsi="Times New Roman" w:cs="Times New Roman"/>
          <w:b/>
          <w:color w:val="000000"/>
          <w:sz w:val="23"/>
          <w:szCs w:val="23"/>
        </w:rPr>
        <w:t>русский, узбекский или английский язык</w:t>
      </w:r>
      <w:r>
        <w:rPr>
          <w:rFonts w:ascii="Times New Roman" w:hAnsi="Times New Roman" w:cs="Times New Roman"/>
          <w:color w:val="000000"/>
          <w:sz w:val="23"/>
          <w:szCs w:val="23"/>
        </w:rPr>
        <w:t xml:space="preserve">; нумерацию страниц и гиперссылки </w:t>
      </w:r>
      <w:r>
        <w:rPr>
          <w:rFonts w:ascii="Times New Roman" w:hAnsi="Times New Roman" w:cs="Times New Roman"/>
          <w:b/>
          <w:color w:val="000000"/>
          <w:sz w:val="23"/>
          <w:szCs w:val="23"/>
        </w:rPr>
        <w:t>не ставить</w:t>
      </w:r>
      <w:r>
        <w:rPr>
          <w:rFonts w:ascii="Times New Roman" w:hAnsi="Times New Roman" w:cs="Times New Roman"/>
          <w:color w:val="000000"/>
          <w:sz w:val="23"/>
          <w:szCs w:val="23"/>
        </w:rPr>
        <w:t xml:space="preserve">. </w:t>
      </w:r>
    </w:p>
    <w:p w14:paraId="4AAAF314">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Графический материал (рисунки, таблицы, формулы) должен быть представлен без использования сканирования, цветного фона, рамок; для диаграмм необходимо применять различную штриховку, использование цветных рисунков и графиков не рекомендуется. Слово «Таблица» с порядковым номером располагается справа над таблицей, ниже слова «Таблица» по центру строки распространяется название таблицы. Номера и названия рисунков располагаются под рисунками после слова «Рисунок». Формулы должны быть набраны в редакторе формул MS Equation 3.0 или Math Type.</w:t>
      </w:r>
    </w:p>
    <w:p w14:paraId="3DA1A5FF">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Источники литературы нумеруются последовательно в соответствии с первым упоминанием в тексте, нумерация </w:t>
      </w:r>
      <w:r>
        <w:rPr>
          <w:rFonts w:ascii="Times New Roman" w:hAnsi="Times New Roman" w:cs="Times New Roman"/>
          <w:b/>
          <w:sz w:val="23"/>
          <w:szCs w:val="23"/>
        </w:rPr>
        <w:t>указывается в тексте</w:t>
      </w:r>
      <w:r>
        <w:rPr>
          <w:rFonts w:ascii="Times New Roman" w:hAnsi="Times New Roman" w:cs="Times New Roman"/>
          <w:sz w:val="23"/>
          <w:szCs w:val="23"/>
        </w:rPr>
        <w:t xml:space="preserve"> </w:t>
      </w:r>
      <w:r>
        <w:rPr>
          <w:rFonts w:ascii="Times New Roman" w:hAnsi="Times New Roman" w:cs="Times New Roman"/>
          <w:color w:val="000000"/>
          <w:sz w:val="23"/>
          <w:szCs w:val="23"/>
        </w:rPr>
        <w:t xml:space="preserve">в квадратных скобках. </w:t>
      </w:r>
      <w:r>
        <w:rPr>
          <w:rFonts w:ascii="Times New Roman" w:hAnsi="Times New Roman" w:cs="Times New Roman"/>
          <w:color w:val="FF0000"/>
          <w:sz w:val="23"/>
          <w:szCs w:val="23"/>
        </w:rPr>
        <w:t>Нормативно-правовые документы, статистические материалы и ссылки на электронные ресурсы</w:t>
      </w:r>
      <w:r>
        <w:rPr>
          <w:rFonts w:ascii="Times New Roman" w:hAnsi="Times New Roman" w:cs="Times New Roman"/>
          <w:color w:val="000000"/>
          <w:sz w:val="23"/>
          <w:szCs w:val="23"/>
        </w:rPr>
        <w:t xml:space="preserve"> в список источников </w:t>
      </w:r>
      <w:r>
        <w:rPr>
          <w:rFonts w:ascii="Times New Roman" w:hAnsi="Times New Roman" w:cs="Times New Roman"/>
          <w:b/>
          <w:color w:val="000000"/>
          <w:sz w:val="23"/>
          <w:szCs w:val="23"/>
        </w:rPr>
        <w:t>не включаются</w:t>
      </w:r>
      <w:r>
        <w:rPr>
          <w:rFonts w:ascii="Times New Roman" w:hAnsi="Times New Roman" w:cs="Times New Roman"/>
          <w:color w:val="000000"/>
          <w:sz w:val="23"/>
          <w:szCs w:val="23"/>
        </w:rPr>
        <w:t>, а при необходимости упоминаются в тексте или выносятся в постраничную сноску. Рекомендованное самоцитирование не более 25%.</w:t>
      </w:r>
    </w:p>
    <w:p w14:paraId="64686894">
      <w:pPr>
        <w:pStyle w:val="11"/>
        <w:numPr>
          <w:ilvl w:val="0"/>
          <w:numId w:val="2"/>
        </w:numPr>
        <w:jc w:val="both"/>
        <w:rPr>
          <w:rFonts w:ascii="Times New Roman" w:hAnsi="Times New Roman" w:cs="Times New Roman"/>
          <w:color w:val="000000"/>
          <w:sz w:val="23"/>
          <w:szCs w:val="23"/>
        </w:rPr>
      </w:pPr>
      <w:r>
        <w:rPr>
          <w:rFonts w:ascii="Times New Roman" w:hAnsi="Times New Roman" w:cs="Times New Roman"/>
          <w:sz w:val="23"/>
          <w:szCs w:val="23"/>
        </w:rPr>
        <w:t>Список литературы (</w:t>
      </w:r>
      <w:r>
        <w:rPr>
          <w:rFonts w:ascii="Times New Roman" w:hAnsi="Times New Roman" w:cs="Times New Roman"/>
          <w:b/>
          <w:sz w:val="23"/>
          <w:szCs w:val="23"/>
        </w:rPr>
        <w:t>обязателен</w:t>
      </w:r>
      <w:r>
        <w:rPr>
          <w:rFonts w:ascii="Times New Roman" w:hAnsi="Times New Roman" w:cs="Times New Roman"/>
          <w:sz w:val="23"/>
          <w:szCs w:val="23"/>
        </w:rPr>
        <w:t>) – после основного текста</w:t>
      </w:r>
      <w:r>
        <w:rPr>
          <w:rFonts w:ascii="Times New Roman" w:hAnsi="Times New Roman" w:cs="Times New Roman"/>
          <w:color w:val="000000"/>
          <w:sz w:val="23"/>
          <w:szCs w:val="23"/>
        </w:rPr>
        <w:t>, обычным шрифтом с выравниванием по ширине. Источники указываются в соответствии с требованиями ГОСТ Р 7.0.5-2008 (</w:t>
      </w:r>
      <w:r>
        <w:fldChar w:fldCharType="begin"/>
      </w:r>
      <w:r>
        <w:instrText xml:space="preserve"> HYPERLINK "http://docs.cntd.ru/document/1200063713" </w:instrText>
      </w:r>
      <w:r>
        <w:fldChar w:fldCharType="separate"/>
      </w:r>
      <w:r>
        <w:rPr>
          <w:rFonts w:ascii="Times New Roman" w:hAnsi="Times New Roman" w:cs="Times New Roman"/>
          <w:color w:val="000000"/>
          <w:sz w:val="23"/>
          <w:szCs w:val="23"/>
        </w:rPr>
        <w:t>http://docs.cntd.ru/document/1200063713</w:t>
      </w:r>
      <w:r>
        <w:rPr>
          <w:rFonts w:ascii="Times New Roman" w:hAnsi="Times New Roman" w:cs="Times New Roman"/>
          <w:color w:val="000000"/>
          <w:sz w:val="23"/>
          <w:szCs w:val="23"/>
        </w:rPr>
        <w:fldChar w:fldCharType="end"/>
      </w:r>
      <w:r>
        <w:rPr>
          <w:rFonts w:ascii="Times New Roman" w:hAnsi="Times New Roman" w:cs="Times New Roman"/>
          <w:color w:val="000000"/>
          <w:sz w:val="23"/>
          <w:szCs w:val="23"/>
        </w:rPr>
        <w:t>)</w:t>
      </w:r>
    </w:p>
    <w:p w14:paraId="7B55987A">
      <w:pPr>
        <w:jc w:val="center"/>
        <w:rPr>
          <w:rFonts w:ascii="Times New Roman" w:hAnsi="Times New Roman" w:cs="Times New Roman"/>
          <w:b/>
          <w:color w:val="000000"/>
          <w:sz w:val="23"/>
          <w:szCs w:val="23"/>
        </w:rPr>
      </w:pPr>
      <w:r>
        <w:rPr>
          <w:rFonts w:ascii="Times New Roman" w:hAnsi="Times New Roman" w:cs="Times New Roman"/>
          <w:b/>
          <w:color w:val="000000"/>
          <w:sz w:val="23"/>
          <w:szCs w:val="23"/>
        </w:rPr>
        <w:t>ТРЕБОВАНИЯ К ДОКЛАДАМ</w:t>
      </w:r>
    </w:p>
    <w:p w14:paraId="73719394">
      <w:pPr>
        <w:pStyle w:val="11"/>
        <w:numPr>
          <w:ilvl w:val="0"/>
          <w:numId w:val="3"/>
        </w:num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Продолжительность доклада участников секций составляет 7–10 минут, для участников секции «Первые шаги в стратегировании» — 5–7 минут. </w:t>
      </w:r>
    </w:p>
    <w:p w14:paraId="6464B65C">
      <w:pPr>
        <w:pStyle w:val="11"/>
        <w:numPr>
          <w:ilvl w:val="0"/>
          <w:numId w:val="3"/>
        </w:numPr>
        <w:jc w:val="both"/>
        <w:rPr>
          <w:rFonts w:ascii="Times New Roman" w:hAnsi="Times New Roman" w:cs="Times New Roman"/>
          <w:color w:val="000000"/>
          <w:sz w:val="23"/>
          <w:szCs w:val="23"/>
        </w:rPr>
      </w:pPr>
      <w:r>
        <w:rPr>
          <w:rFonts w:ascii="Times New Roman" w:hAnsi="Times New Roman" w:cs="Times New Roman"/>
          <w:color w:val="000000"/>
          <w:sz w:val="23"/>
          <w:szCs w:val="23"/>
        </w:rPr>
        <w:t>Участие в секции «Первые шаги в стратегировании» возможно только с научным руководителем, сведения о котором указываются в материалах статьи</w:t>
      </w:r>
      <w:r>
        <w:rPr>
          <w:rFonts w:ascii="Times New Roman" w:hAnsi="Times New Roman" w:cs="Times New Roman"/>
          <w:color w:val="000000"/>
          <w:sz w:val="23"/>
          <w:szCs w:val="23"/>
          <w:lang w:val="uz-Cyrl-UZ"/>
        </w:rPr>
        <w:t xml:space="preserve"> </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FF0000"/>
          <w:sz w:val="24"/>
          <w:szCs w:val="24"/>
          <w:u w:val="single"/>
        </w:rPr>
        <w:t>указывается сноской в заголовке статьи</w:t>
      </w:r>
      <w:r>
        <w:rPr>
          <w:rFonts w:ascii="Times New Roman" w:hAnsi="Times New Roman" w:eastAsia="Times New Roman" w:cs="Times New Roman"/>
          <w:color w:val="000000"/>
          <w:sz w:val="24"/>
          <w:szCs w:val="24"/>
        </w:rPr>
        <w:t>)</w:t>
      </w:r>
      <w:r>
        <w:rPr>
          <w:rFonts w:ascii="Times New Roman" w:hAnsi="Times New Roman" w:cs="Times New Roman"/>
          <w:color w:val="000000"/>
          <w:sz w:val="23"/>
          <w:szCs w:val="23"/>
        </w:rPr>
        <w:t>.</w:t>
      </w:r>
    </w:p>
    <w:p w14:paraId="0D47B27C">
      <w:pPr>
        <w:pStyle w:val="11"/>
        <w:numPr>
          <w:ilvl w:val="0"/>
          <w:numId w:val="3"/>
        </w:numPr>
        <w:jc w:val="both"/>
        <w:rPr>
          <w:rFonts w:ascii="Times New Roman" w:hAnsi="Times New Roman" w:cs="Times New Roman"/>
          <w:color w:val="000000"/>
          <w:sz w:val="23"/>
          <w:szCs w:val="23"/>
        </w:rPr>
      </w:pPr>
      <w:r>
        <w:rPr>
          <w:rFonts w:ascii="Times New Roman" w:hAnsi="Times New Roman" w:cs="Times New Roman"/>
          <w:color w:val="000000"/>
          <w:sz w:val="23"/>
          <w:szCs w:val="23"/>
        </w:rPr>
        <w:t>Доклад должен соответствовать тематике выбранной секции и содержанию представленной статьи.</w:t>
      </w:r>
    </w:p>
    <w:p w14:paraId="3F2DE859">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УЧАСТИЕ В КОНФЕРЕНЦИИ И ПУБЛИКАЦИЯ МАТЕРИАЛОВ</w:t>
      </w:r>
    </w:p>
    <w:p w14:paraId="44C5A06D">
      <w:pPr>
        <w:pStyle w:val="11"/>
        <w:numPr>
          <w:ilvl w:val="0"/>
          <w:numId w:val="3"/>
        </w:numPr>
        <w:jc w:val="both"/>
        <w:rPr>
          <w:rFonts w:ascii="Times New Roman" w:hAnsi="Times New Roman" w:cs="Times New Roman"/>
          <w:color w:val="000000"/>
          <w:sz w:val="23"/>
          <w:szCs w:val="23"/>
        </w:rPr>
      </w:pPr>
      <w:r>
        <w:rPr>
          <w:rFonts w:ascii="Times New Roman" w:hAnsi="Times New Roman" w:cs="Times New Roman"/>
          <w:color w:val="000000"/>
          <w:sz w:val="23"/>
          <w:szCs w:val="23"/>
        </w:rPr>
        <w:t>Участие в конференции предусматривается в очном или дистанционном формате.</w:t>
      </w:r>
    </w:p>
    <w:p w14:paraId="4EAC3D44">
      <w:pPr>
        <w:pStyle w:val="11"/>
        <w:numPr>
          <w:ilvl w:val="0"/>
          <w:numId w:val="3"/>
        </w:numPr>
        <w:jc w:val="both"/>
        <w:rPr>
          <w:rFonts w:ascii="Times New Roman" w:hAnsi="Times New Roman" w:cs="Times New Roman"/>
          <w:color w:val="000000"/>
          <w:sz w:val="23"/>
          <w:szCs w:val="23"/>
        </w:rPr>
      </w:pPr>
      <w:r>
        <w:rPr>
          <w:rFonts w:ascii="Times New Roman" w:hAnsi="Times New Roman" w:cs="Times New Roman"/>
          <w:color w:val="000000"/>
          <w:sz w:val="23"/>
          <w:szCs w:val="23"/>
        </w:rPr>
        <w:t>По итогам конференции участникам, принявшим участие в работе секций в очном или дистанционном формате, выдаётся сертификат участника.</w:t>
      </w:r>
    </w:p>
    <w:p w14:paraId="2711892B">
      <w:pPr>
        <w:pStyle w:val="11"/>
        <w:numPr>
          <w:ilvl w:val="0"/>
          <w:numId w:val="3"/>
        </w:numPr>
        <w:jc w:val="both"/>
        <w:rPr>
          <w:rFonts w:ascii="Times New Roman" w:hAnsi="Times New Roman" w:cs="Times New Roman"/>
          <w:color w:val="000000"/>
          <w:sz w:val="23"/>
          <w:szCs w:val="23"/>
        </w:rPr>
      </w:pPr>
      <w:r>
        <w:rPr>
          <w:rFonts w:ascii="Times New Roman" w:hAnsi="Times New Roman" w:cs="Times New Roman"/>
          <w:color w:val="000000"/>
          <w:sz w:val="23"/>
          <w:szCs w:val="23"/>
        </w:rPr>
        <w:t>Статьи участников, соответствующие установленным требованиям, будут включены в сборник материалов конференции.</w:t>
      </w:r>
    </w:p>
    <w:p w14:paraId="4E2C106C">
      <w:pPr>
        <w:pStyle w:val="11"/>
        <w:numPr>
          <w:ilvl w:val="0"/>
          <w:numId w:val="3"/>
        </w:numPr>
        <w:jc w:val="both"/>
        <w:rPr>
          <w:rFonts w:ascii="Times New Roman" w:hAnsi="Times New Roman" w:cs="Times New Roman"/>
          <w:b/>
          <w:color w:val="000000"/>
          <w:sz w:val="23"/>
          <w:szCs w:val="23"/>
        </w:rPr>
      </w:pPr>
      <w:r>
        <w:rPr>
          <w:rFonts w:ascii="Times New Roman" w:hAnsi="Times New Roman" w:cs="Times New Roman"/>
          <w:b/>
          <w:color w:val="000000"/>
          <w:sz w:val="23"/>
          <w:szCs w:val="23"/>
        </w:rPr>
        <w:t>Статьи авторов, не принявших участие в работе конференции в очном или дистанционном формате, в сборник материалов конференции включены не будут.</w:t>
      </w:r>
    </w:p>
    <w:p w14:paraId="33F94D61">
      <w:pPr>
        <w:pStyle w:val="11"/>
        <w:jc w:val="both"/>
        <w:rPr>
          <w:rFonts w:ascii="Times New Roman" w:hAnsi="Times New Roman" w:cs="Times New Roman"/>
          <w:color w:val="000000"/>
          <w:sz w:val="23"/>
          <w:szCs w:val="23"/>
        </w:rPr>
      </w:pPr>
    </w:p>
    <w:p w14:paraId="1EEEFBE7">
      <w:pPr>
        <w:pStyle w:val="11"/>
        <w:jc w:val="both"/>
        <w:rPr>
          <w:rFonts w:ascii="Times New Roman" w:hAnsi="Times New Roman" w:cs="Times New Roman"/>
          <w:color w:val="000000"/>
          <w:sz w:val="23"/>
          <w:szCs w:val="23"/>
        </w:rPr>
      </w:pPr>
      <w:r>
        <w:rPr>
          <w:rFonts w:ascii="Times New Roman" w:hAnsi="Times New Roman" w:cs="Times New Roman"/>
          <w:color w:val="FF0000"/>
          <w:sz w:val="23"/>
          <w:szCs w:val="23"/>
        </w:rPr>
        <w:t>При несоблюдении требований организатор имеет право отказать в размещении статьи в Сборнике!</w:t>
      </w:r>
    </w:p>
    <w:p w14:paraId="69984353">
      <w:pPr>
        <w:pStyle w:val="11"/>
        <w:jc w:val="center"/>
        <w:rPr>
          <w:rFonts w:ascii="Times New Roman" w:hAnsi="Times New Roman" w:cs="Times New Roman"/>
          <w:b/>
          <w:sz w:val="23"/>
          <w:szCs w:val="23"/>
        </w:rPr>
      </w:pPr>
    </w:p>
    <w:p w14:paraId="0FFBED8B">
      <w:pPr>
        <w:pStyle w:val="11"/>
        <w:jc w:val="center"/>
        <w:rPr>
          <w:rStyle w:val="7"/>
          <w:rFonts w:ascii="Times New Roman" w:hAnsi="Times New Roman" w:cs="Times New Roman"/>
          <w:b/>
          <w:sz w:val="26"/>
          <w:szCs w:val="26"/>
        </w:rPr>
      </w:pPr>
      <w:r>
        <w:rPr>
          <w:rFonts w:ascii="Times New Roman" w:hAnsi="Times New Roman" w:cs="Times New Roman"/>
          <w:b/>
          <w:sz w:val="23"/>
          <w:szCs w:val="23"/>
        </w:rPr>
        <w:t>Электронная почта для отправки научных статей -</w:t>
      </w:r>
      <w:r>
        <w:rPr>
          <w:rFonts w:ascii="Times New Roman" w:hAnsi="Times New Roman" w:cs="Times New Roman"/>
          <w:b/>
          <w:sz w:val="23"/>
          <w:szCs w:val="23"/>
          <w:lang w:val="uz-Cyrl-UZ"/>
        </w:rPr>
        <w:t xml:space="preserve"> </w:t>
      </w:r>
      <w:r>
        <w:fldChar w:fldCharType="begin"/>
      </w:r>
      <w:r>
        <w:instrText xml:space="preserve"> HYPERLINK "mailto:caus_mse@mail.ru" </w:instrText>
      </w:r>
      <w:r>
        <w:fldChar w:fldCharType="separate"/>
      </w:r>
      <w:r>
        <w:rPr>
          <w:rStyle w:val="7"/>
          <w:rFonts w:ascii="Times New Roman" w:hAnsi="Times New Roman" w:cs="Times New Roman"/>
          <w:b/>
          <w:sz w:val="26"/>
          <w:szCs w:val="26"/>
        </w:rPr>
        <w:t>caus_mse@mail.ru</w:t>
      </w:r>
      <w:r>
        <w:rPr>
          <w:rStyle w:val="7"/>
          <w:rFonts w:ascii="Times New Roman" w:hAnsi="Times New Roman" w:cs="Times New Roman"/>
          <w:b/>
          <w:sz w:val="26"/>
          <w:szCs w:val="26"/>
        </w:rPr>
        <w:fldChar w:fldCharType="end"/>
      </w:r>
    </w:p>
    <w:p w14:paraId="0D96656F">
      <w:pPr>
        <w:pStyle w:val="11"/>
        <w:jc w:val="center"/>
        <w:rPr>
          <w:rStyle w:val="7"/>
          <w:rFonts w:ascii="Times New Roman" w:hAnsi="Times New Roman" w:cs="Times New Roman"/>
          <w:b/>
          <w:sz w:val="26"/>
          <w:szCs w:val="26"/>
          <w:lang w:val="uz-Cyrl-UZ"/>
        </w:rPr>
      </w:pPr>
    </w:p>
    <w:p w14:paraId="3DD34E09">
      <w:pPr>
        <w:pStyle w:val="11"/>
        <w:jc w:val="center"/>
        <w:rPr>
          <w:rStyle w:val="7"/>
          <w:rFonts w:ascii="Times New Roman" w:hAnsi="Times New Roman" w:cs="Times New Roman"/>
          <w:b/>
          <w:sz w:val="26"/>
          <w:szCs w:val="26"/>
          <w:lang w:val="uz-Cyrl-UZ"/>
        </w:rPr>
      </w:pPr>
    </w:p>
    <w:p w14:paraId="31A9FA39">
      <w:pPr>
        <w:pStyle w:val="11"/>
        <w:jc w:val="center"/>
        <w:rPr>
          <w:rStyle w:val="7"/>
          <w:rFonts w:ascii="Times New Roman" w:hAnsi="Times New Roman" w:cs="Times New Roman"/>
          <w:b/>
          <w:sz w:val="26"/>
          <w:szCs w:val="26"/>
          <w:lang w:val="uz-Cyrl-UZ"/>
        </w:rPr>
      </w:pPr>
    </w:p>
    <w:p w14:paraId="3F583FD1">
      <w:pPr>
        <w:pStyle w:val="11"/>
        <w:jc w:val="center"/>
        <w:rPr>
          <w:rStyle w:val="7"/>
          <w:rFonts w:ascii="Times New Roman" w:hAnsi="Times New Roman" w:cs="Times New Roman"/>
          <w:b/>
          <w:sz w:val="26"/>
          <w:szCs w:val="26"/>
          <w:lang w:val="uz-Cyrl-UZ"/>
        </w:rPr>
      </w:pPr>
    </w:p>
    <w:p w14:paraId="0E3CC3E7">
      <w:pPr>
        <w:pStyle w:val="11"/>
        <w:jc w:val="center"/>
        <w:rPr>
          <w:rStyle w:val="7"/>
          <w:rFonts w:ascii="Times New Roman" w:hAnsi="Times New Roman" w:cs="Times New Roman"/>
          <w:b/>
          <w:sz w:val="26"/>
          <w:szCs w:val="26"/>
          <w:lang w:val="uz-Cyrl-UZ"/>
        </w:rPr>
      </w:pPr>
    </w:p>
    <w:p w14:paraId="63192409">
      <w:pPr>
        <w:pStyle w:val="9"/>
        <w:spacing w:beforeAutospacing="0" w:afterAutospacing="0"/>
        <w:jc w:val="center"/>
        <w:rPr>
          <w:rStyle w:val="8"/>
          <w:lang w:val="ru-RU"/>
        </w:rPr>
      </w:pPr>
    </w:p>
    <w:p w14:paraId="5AB3E366">
      <w:pPr>
        <w:pStyle w:val="9"/>
        <w:spacing w:beforeAutospacing="0" w:afterAutospacing="0"/>
        <w:jc w:val="center"/>
      </w:pPr>
      <w:r>
        <w:rPr>
          <w:rStyle w:val="8"/>
        </w:rPr>
        <w:t>IX Xalqaro ilmiy-amaliy konferensiya</w:t>
      </w:r>
    </w:p>
    <w:p w14:paraId="175045D2">
      <w:pPr>
        <w:pStyle w:val="9"/>
        <w:spacing w:beforeAutospacing="0" w:afterAutospacing="0"/>
        <w:jc w:val="center"/>
        <w:rPr>
          <w:rStyle w:val="8"/>
        </w:rPr>
      </w:pPr>
      <w:r>
        <w:rPr>
          <w:rStyle w:val="8"/>
        </w:rPr>
        <w:t>“Strategiyalash nazariyasi va amaliyoti”</w:t>
      </w:r>
    </w:p>
    <w:p w14:paraId="6BBA37CD">
      <w:pPr>
        <w:pStyle w:val="9"/>
        <w:spacing w:beforeAutospacing="0" w:afterAutospacing="0"/>
        <w:jc w:val="center"/>
        <w:rPr>
          <w:rStyle w:val="8"/>
        </w:rPr>
      </w:pPr>
    </w:p>
    <w:p w14:paraId="682BA8DD">
      <w:pPr>
        <w:pStyle w:val="2"/>
        <w:widowControl/>
        <w:spacing w:before="0"/>
        <w:ind w:left="11" w:right="17"/>
        <w:jc w:val="center"/>
        <w:rPr>
          <w:lang w:val="en-US"/>
        </w:rPr>
      </w:pPr>
      <w:r>
        <w:rPr>
          <w:rStyle w:val="8"/>
          <w:b/>
          <w:bCs/>
          <w:lang w:val="en-US"/>
        </w:rPr>
        <w:t>«MARKAZIY OSIYO STRATEG UNIVERSITARIUMI»</w:t>
      </w:r>
    </w:p>
    <w:p w14:paraId="573067CC">
      <w:pPr>
        <w:pStyle w:val="2"/>
        <w:widowControl/>
        <w:spacing w:before="0"/>
        <w:ind w:left="11" w:right="17"/>
        <w:jc w:val="center"/>
        <w:rPr>
          <w:rStyle w:val="6"/>
          <w:b w:val="0"/>
          <w:bCs w:val="0"/>
          <w:lang w:val="en-US"/>
        </w:rPr>
      </w:pPr>
      <w:r>
        <w:rPr>
          <w:rStyle w:val="6"/>
          <w:b w:val="0"/>
          <w:bCs w:val="0"/>
          <w:lang w:val="en-US"/>
        </w:rPr>
        <w:t xml:space="preserve">O‘zbekiston Respublikasi Fanlar akademiyasi prezidenti, atoqli olim, akademik B.S. Yuldashev </w:t>
      </w:r>
    </w:p>
    <w:p w14:paraId="06A9BF56">
      <w:pPr>
        <w:pStyle w:val="2"/>
        <w:widowControl/>
        <w:spacing w:before="0"/>
        <w:ind w:left="11" w:right="17"/>
        <w:jc w:val="center"/>
        <w:rPr>
          <w:b w:val="0"/>
          <w:bCs w:val="0"/>
          <w:lang w:val="en-US"/>
        </w:rPr>
      </w:pPr>
      <w:r>
        <w:rPr>
          <w:rStyle w:val="6"/>
          <w:b w:val="0"/>
          <w:bCs w:val="0"/>
          <w:lang w:val="en-US"/>
        </w:rPr>
        <w:t>xotirasiga bag‘ishlanadi.</w:t>
      </w:r>
    </w:p>
    <w:p w14:paraId="34C58F13">
      <w:pPr>
        <w:pStyle w:val="9"/>
        <w:jc w:val="center"/>
      </w:pPr>
      <w:r>
        <w:t>(</w:t>
      </w:r>
      <w:r>
        <w:rPr>
          <w:rStyle w:val="8"/>
        </w:rPr>
        <w:t>2026-YIL 4–5-NOYABR</w:t>
      </w:r>
      <w:r>
        <w:t>)</w:t>
      </w:r>
    </w:p>
    <w:p w14:paraId="3DA53B9B">
      <w:pPr>
        <w:pStyle w:val="9"/>
        <w:jc w:val="center"/>
      </w:pPr>
      <w:r>
        <w:rPr>
          <w:rStyle w:val="8"/>
        </w:rPr>
        <w:t>MAQOLALARGA QO‘YILADIGAN UMUMIY TALABLAR</w:t>
      </w:r>
    </w:p>
    <w:p w14:paraId="24B7D4C1">
      <w:pPr>
        <w:pStyle w:val="9"/>
        <w:numPr>
          <w:ilvl w:val="0"/>
          <w:numId w:val="4"/>
        </w:numPr>
        <w:spacing w:beforeAutospacing="0" w:afterAutospacing="0" w:line="288" w:lineRule="auto"/>
        <w:ind w:left="720"/>
        <w:jc w:val="both"/>
      </w:pPr>
      <w:r>
        <w:t xml:space="preserve">To‘plam uchun maqolalarni topshirish muddati — </w:t>
      </w:r>
      <w:r>
        <w:rPr>
          <w:rStyle w:val="8"/>
        </w:rPr>
        <w:t>2026-yil 20-oktabrgacha</w:t>
      </w:r>
      <w:r>
        <w:t>.</w:t>
      </w:r>
    </w:p>
    <w:p w14:paraId="7B113A9E">
      <w:pPr>
        <w:pStyle w:val="9"/>
        <w:numPr>
          <w:ilvl w:val="0"/>
          <w:numId w:val="4"/>
        </w:numPr>
        <w:spacing w:beforeAutospacing="0" w:afterAutospacing="0" w:line="288" w:lineRule="auto"/>
        <w:ind w:left="720"/>
        <w:jc w:val="both"/>
      </w:pPr>
      <w:r>
        <w:t xml:space="preserve">Maqola </w:t>
      </w:r>
      <w:r>
        <w:rPr>
          <w:rStyle w:val="8"/>
        </w:rPr>
        <w:t>strategik xususiyatga ega bo‘lishi</w:t>
      </w:r>
      <w:r>
        <w:t xml:space="preserve">, asoschisi akademik, Rossiya Fanlar akademiyasining xorijiy a’zosi V.L. Kvint hisoblangan </w:t>
      </w:r>
      <w:r>
        <w:rPr>
          <w:rStyle w:val="8"/>
        </w:rPr>
        <w:t>strategiyaning umumiy nazariyasi va strategiyalash metodologiyasiga</w:t>
      </w:r>
      <w:r>
        <w:t>, shuningdek, Murakkab tizimlarni matematik tadqiq etish instituti Strategik tadqiqotlar markazi hamda M.V. Lomonosov nomidagi Moskva davlat universiteti Moskva iqtisodiyot maktabining Iqtisodiy va moliyaviy strategiya kafedrasida ishlab chiqilgan ilmiy ishlarga asoslanishi lozim. Shu munosabat bilan tadqiqotda milliy strategiyalash maktabining asosiy ilmiy asarlarini o‘rganish va ulardan foydalanish zarur.</w:t>
      </w:r>
    </w:p>
    <w:p w14:paraId="45E1693C">
      <w:pPr>
        <w:pStyle w:val="9"/>
        <w:numPr>
          <w:ilvl w:val="0"/>
          <w:numId w:val="4"/>
        </w:numPr>
        <w:spacing w:beforeAutospacing="0" w:afterAutospacing="0" w:line="288" w:lineRule="auto"/>
        <w:ind w:left="720"/>
        <w:jc w:val="both"/>
      </w:pPr>
      <w:r>
        <w:t xml:space="preserve">Tanlangan sessiya seksiyasining nomi: </w:t>
      </w:r>
      <w:r>
        <w:rPr>
          <w:rStyle w:val="8"/>
        </w:rPr>
        <w:t>“MARKAZIY OSIYO STRATEG UNIVERSITARIUMI”</w:t>
      </w:r>
      <w:r>
        <w:t>.</w:t>
      </w:r>
    </w:p>
    <w:p w14:paraId="4EE92ED7">
      <w:pPr>
        <w:pStyle w:val="9"/>
        <w:numPr>
          <w:ilvl w:val="0"/>
          <w:numId w:val="4"/>
        </w:numPr>
        <w:spacing w:beforeAutospacing="0" w:afterAutospacing="0" w:line="288" w:lineRule="auto"/>
        <w:ind w:left="720"/>
        <w:jc w:val="both"/>
        <w:rPr>
          <w:color w:val="FF0000"/>
        </w:rPr>
      </w:pPr>
      <w:r>
        <w:rPr>
          <w:rStyle w:val="8"/>
        </w:rPr>
        <w:t>“Strategiyalashdagi ilk qadamlar”</w:t>
      </w:r>
      <w:r>
        <w:t xml:space="preserve"> seksiyasida faqat ilmiy rahbar bilan birgalikda ishtirok etish mumkin. </w:t>
      </w:r>
      <w:r>
        <w:rPr>
          <w:color w:val="FF0000"/>
        </w:rPr>
        <w:t>Ilmiy rahbar maqola sarlavhasiga berilgan izohda ko‘rsatiladi.</w:t>
      </w:r>
    </w:p>
    <w:p w14:paraId="35D9577D">
      <w:pPr>
        <w:pStyle w:val="9"/>
        <w:numPr>
          <w:ilvl w:val="0"/>
          <w:numId w:val="4"/>
        </w:numPr>
        <w:spacing w:beforeAutospacing="0" w:afterAutospacing="0" w:line="288" w:lineRule="auto"/>
        <w:ind w:left="720"/>
        <w:jc w:val="both"/>
      </w:pPr>
      <w:r>
        <w:t xml:space="preserve">Har bir maqolaning oxirida, foydalanilgan adabiyotlar ro‘yxatidan keyin, matn muallif tomonidan tekshirilgani, tahrir qilingani va cheklangan doirada tarqatiladigan ma’lumotlarni o‘z ichiga olmasligini tasdiqlovchi quyidagi jumla keltiriladi: </w:t>
      </w:r>
      <w:r>
        <w:rPr>
          <w:rStyle w:val="8"/>
        </w:rPr>
        <w:t>“</w:t>
      </w:r>
      <w:r>
        <w:rPr>
          <w:rStyle w:val="8"/>
          <w:i/>
          <w:iCs/>
        </w:rPr>
        <w:t>Material tekshirildi, raqamlar, faktlar va iqtiboslar birlamchi manbalar bilan solishtirildi, material cheklangan doirada tarqatiladigan ma’lumotlarni o‘z ichiga olmaydi”</w:t>
      </w:r>
      <w:r>
        <w:rPr>
          <w:rStyle w:val="8"/>
        </w:rPr>
        <w:t>.</w:t>
      </w:r>
    </w:p>
    <w:p w14:paraId="4267E45F">
      <w:pPr>
        <w:pStyle w:val="9"/>
        <w:numPr>
          <w:ilvl w:val="0"/>
          <w:numId w:val="4"/>
        </w:numPr>
        <w:spacing w:beforeAutospacing="0" w:afterAutospacing="0" w:line="288" w:lineRule="auto"/>
        <w:ind w:left="720"/>
        <w:jc w:val="both"/>
      </w:pPr>
      <w:r>
        <w:rPr>
          <w:color w:val="FF0000"/>
        </w:rPr>
        <w:t>Sun’iy intellektdan foydalanilganligi bo‘yicha har qanday shubha</w:t>
      </w:r>
      <w:r>
        <w:t>, xususan, foydalanilgan adabiyotlar ro‘yxatida shunday holat aniqlanishi, tashkilotchilarga maqolani ko‘rib chiqmaslik va ma’ruzani konferensiyada ishtirok etishdan chetlatish huquqini beradi.</w:t>
      </w:r>
    </w:p>
    <w:p w14:paraId="32C86DF5">
      <w:pPr>
        <w:pStyle w:val="9"/>
        <w:spacing w:beforeAutospacing="0" w:afterAutospacing="0" w:line="288" w:lineRule="auto"/>
        <w:jc w:val="both"/>
      </w:pPr>
    </w:p>
    <w:p w14:paraId="3D85B2A8">
      <w:pPr>
        <w:pStyle w:val="9"/>
        <w:jc w:val="center"/>
      </w:pPr>
      <w:r>
        <w:rPr>
          <w:rStyle w:val="8"/>
        </w:rPr>
        <w:t>MAQOLALARNI RASMIYLASHTIRISHGA QO‘YILADIGAN TALABLAR</w:t>
      </w:r>
    </w:p>
    <w:p w14:paraId="37DEF9BD">
      <w:pPr>
        <w:pStyle w:val="9"/>
        <w:numPr>
          <w:ilvl w:val="0"/>
          <w:numId w:val="5"/>
        </w:numPr>
        <w:spacing w:beforeAutospacing="0" w:afterAutospacing="0" w:line="288" w:lineRule="auto"/>
        <w:ind w:left="720"/>
        <w:jc w:val="both"/>
      </w:pPr>
      <w:r>
        <w:t>Nashr uchun muallifning ilgari chop etilmagan original tadqiqotlari natijalarini o‘z ichiga olgan yaxlit ilmiy materiallar qabul qilinadi (matnning kamida 80 foizi original bo‘lishi lozim).</w:t>
      </w:r>
    </w:p>
    <w:p w14:paraId="2F395AD6">
      <w:pPr>
        <w:pStyle w:val="9"/>
        <w:numPr>
          <w:ilvl w:val="0"/>
          <w:numId w:val="5"/>
        </w:numPr>
        <w:spacing w:beforeAutospacing="0" w:afterAutospacing="0" w:line="288" w:lineRule="auto"/>
        <w:ind w:left="720"/>
        <w:jc w:val="both"/>
      </w:pPr>
      <w:r>
        <w:t xml:space="preserve">Matn hajmi — 4 </w:t>
      </w:r>
      <w:r>
        <w:rPr>
          <w:rFonts w:hint="default"/>
          <w:lang w:val="ru-RU"/>
        </w:rPr>
        <w:t>-</w:t>
      </w:r>
      <w:r>
        <w:t xml:space="preserve"> 6  sahifagacha (</w:t>
      </w:r>
      <w:r>
        <w:rPr>
          <w:rStyle w:val="8"/>
        </w:rPr>
        <w:t>metama’lumotlar, annotatsiya va foydalanilgan adabiyotlar ro‘yxati hisobga olinmaydi</w:t>
      </w:r>
      <w:r>
        <w:t xml:space="preserve">), qat’iy ravishda </w:t>
      </w:r>
      <w:r>
        <w:rPr>
          <w:rStyle w:val="8"/>
        </w:rPr>
        <w:t>A5 qog‘oz formatida</w:t>
      </w:r>
      <w:r>
        <w:t xml:space="preserve"> (</w:t>
      </w:r>
      <w:r>
        <w:rPr>
          <w:rStyle w:val="8"/>
        </w:rPr>
        <w:t>Word 97–2003</w:t>
      </w:r>
      <w:r>
        <w:t xml:space="preserve">); barcha tomondan hoshiyalar — 2 sm; shrift — Times New Roman, shrift o‘lchami — 11; qator oralig‘i — </w:t>
      </w:r>
      <w:r>
        <w:rPr>
          <w:rFonts w:hint="default"/>
          <w:lang w:val="ru-RU"/>
        </w:rPr>
        <w:t>1</w:t>
      </w:r>
      <w:r>
        <w:t xml:space="preserve"> interval; so‘zlarni avtomatik ko‘chirish </w:t>
      </w:r>
      <w:r>
        <w:rPr>
          <w:rStyle w:val="8"/>
        </w:rPr>
        <w:t>taqiqlanadi</w:t>
      </w:r>
      <w:r>
        <w:t>.</w:t>
      </w:r>
    </w:p>
    <w:p w14:paraId="5CF3D7A4">
      <w:pPr>
        <w:pStyle w:val="9"/>
        <w:numPr>
          <w:ilvl w:val="0"/>
          <w:numId w:val="5"/>
        </w:numPr>
        <w:spacing w:beforeAutospacing="0" w:afterAutospacing="0" w:line="288" w:lineRule="auto"/>
        <w:ind w:left="720"/>
        <w:jc w:val="both"/>
      </w:pPr>
      <w:r>
        <w:t>Maqola nomi rus va ingliz tillarida ko‘rsatilishi lozim — shrift qalin, bosh harflarda yoziladi va markaz</w:t>
      </w:r>
      <w:r>
        <w:rPr>
          <w:rFonts w:hint="default"/>
          <w:lang w:val="en-US"/>
        </w:rPr>
        <w:t xml:space="preserve">dan </w:t>
      </w:r>
      <w:r>
        <w:t>tekislanadi.</w:t>
      </w:r>
    </w:p>
    <w:p w14:paraId="7FD9B1BA">
      <w:pPr>
        <w:pStyle w:val="9"/>
        <w:numPr>
          <w:ilvl w:val="0"/>
          <w:numId w:val="5"/>
        </w:numPr>
        <w:spacing w:beforeAutospacing="0" w:afterAutospacing="0" w:line="288" w:lineRule="auto"/>
        <w:ind w:left="720"/>
        <w:jc w:val="both"/>
      </w:pPr>
      <w:r>
        <w:t xml:space="preserve">Mualliflarning familiyasi, ismi va otasining ismi rus va ingliz tillarida ko‘rsatiladi — shrift qalin va kursiv, o‘ng tomon bo‘yicha tekislanadi. Mualliflar haqidagi to‘liq ma’lumotlar </w:t>
      </w:r>
      <w:r>
        <w:rPr>
          <w:rStyle w:val="8"/>
        </w:rPr>
        <w:t>maqolaning oxirida</w:t>
      </w:r>
      <w:r>
        <w:t>, alohida jadvalda keltiriladi.</w:t>
      </w:r>
    </w:p>
    <w:p w14:paraId="53A16A2B">
      <w:pPr>
        <w:pStyle w:val="9"/>
        <w:spacing w:beforeAutospacing="0" w:afterAutospacing="0" w:line="288" w:lineRule="auto"/>
        <w:jc w:val="both"/>
      </w:pPr>
    </w:p>
    <w:p w14:paraId="0E45FB77">
      <w:pPr>
        <w:pStyle w:val="9"/>
        <w:spacing w:beforeAutospacing="0" w:afterAutospacing="0" w:line="288" w:lineRule="auto"/>
        <w:jc w:val="both"/>
      </w:pPr>
    </w:p>
    <w:p w14:paraId="340E02BF">
      <w:pPr>
        <w:pStyle w:val="9"/>
        <w:spacing w:beforeAutospacing="0" w:afterAutospacing="0" w:line="288" w:lineRule="auto"/>
        <w:jc w:val="both"/>
      </w:pPr>
    </w:p>
    <w:tbl>
      <w:tblPr>
        <w:tblStyle w:val="10"/>
        <w:tblW w:w="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3718"/>
      </w:tblGrid>
      <w:tr w14:paraId="554E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19" w:type="dxa"/>
          </w:tcPr>
          <w:p w14:paraId="00E77CE6">
            <w:pPr>
              <w:spacing w:after="0" w:line="240" w:lineRule="auto"/>
              <w:jc w:val="both"/>
              <w:rPr>
                <w:rFonts w:ascii="Times New Roman" w:hAnsi="Times New Roman" w:cs="Times New Roman" w:eastAsiaTheme="minorHAnsi"/>
                <w:b/>
                <w:bCs/>
                <w:lang w:eastAsia="en-US"/>
              </w:rPr>
            </w:pPr>
            <w:r>
              <w:rPr>
                <w:rFonts w:ascii="Times New Roman" w:hAnsi="Times New Roman" w:eastAsia="SimSun" w:cs="Times New Roman"/>
                <w:b/>
                <w:bCs/>
                <w:sz w:val="24"/>
                <w:szCs w:val="24"/>
                <w:lang w:eastAsia="en-US"/>
              </w:rPr>
              <w:t>Muallif</w:t>
            </w:r>
          </w:p>
        </w:tc>
        <w:tc>
          <w:tcPr>
            <w:tcW w:w="3718" w:type="dxa"/>
          </w:tcPr>
          <w:p w14:paraId="23823DF3">
            <w:pPr>
              <w:spacing w:after="0" w:line="240" w:lineRule="auto"/>
              <w:jc w:val="both"/>
              <w:rPr>
                <w:rFonts w:ascii="Times New Roman" w:hAnsi="Times New Roman" w:cs="Times New Roman" w:eastAsiaTheme="minorHAnsi"/>
                <w:b/>
                <w:bCs/>
                <w:lang w:eastAsia="en-US"/>
              </w:rPr>
            </w:pPr>
            <w:r>
              <w:rPr>
                <w:rFonts w:ascii="Times New Roman" w:hAnsi="Times New Roman" w:eastAsia="SimSun" w:cs="Times New Roman"/>
                <w:b/>
                <w:bCs/>
                <w:sz w:val="24"/>
                <w:szCs w:val="24"/>
                <w:lang w:eastAsia="en-US"/>
              </w:rPr>
              <w:t>Muallif haqida ma’lumot</w:t>
            </w:r>
          </w:p>
        </w:tc>
      </w:tr>
      <w:tr w14:paraId="2C54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tcPr>
          <w:p w14:paraId="1368FCEC">
            <w:pPr>
              <w:spacing w:after="0" w:line="240" w:lineRule="auto"/>
              <w:jc w:val="both"/>
              <w:rPr>
                <w:rFonts w:ascii="Times New Roman" w:hAnsi="Times New Roman" w:cs="Times New Roman" w:eastAsiaTheme="minorHAnsi"/>
                <w:lang w:val="en-US" w:eastAsia="en-US"/>
              </w:rPr>
            </w:pPr>
            <w:r>
              <w:rPr>
                <w:rFonts w:ascii="Times New Roman" w:hAnsi="Times New Roman" w:eastAsia="SimSun" w:cs="Times New Roman"/>
                <w:sz w:val="24"/>
                <w:szCs w:val="24"/>
                <w:lang w:val="en-US" w:eastAsia="en-US"/>
              </w:rPr>
              <w:t>Familiyasi, ismi, otasining ismi to‘liq</w:t>
            </w:r>
          </w:p>
        </w:tc>
        <w:tc>
          <w:tcPr>
            <w:tcW w:w="3718" w:type="dxa"/>
          </w:tcPr>
          <w:p w14:paraId="3EA9FFA9">
            <w:pPr>
              <w:spacing w:after="0" w:line="240" w:lineRule="auto"/>
              <w:jc w:val="both"/>
              <w:rPr>
                <w:rFonts w:ascii="Times New Roman" w:hAnsi="Times New Roman" w:cs="Times New Roman" w:eastAsiaTheme="minorHAnsi"/>
                <w:lang w:val="en-US" w:eastAsia="en-US"/>
              </w:rPr>
            </w:pPr>
            <w:r>
              <w:rPr>
                <w:rFonts w:ascii="Times New Roman" w:hAnsi="Times New Roman" w:eastAsia="SimSun" w:cs="Times New Roman"/>
                <w:sz w:val="24"/>
                <w:szCs w:val="24"/>
                <w:lang w:val="en-US" w:eastAsia="en-US"/>
              </w:rPr>
              <w:t>ilmiy darajasi, ilmiy unvoni, boshqa unvonlari, lavozimi, ish joyi, mamlakat, shahar, elektron pochta manzili</w:t>
            </w:r>
          </w:p>
        </w:tc>
      </w:tr>
    </w:tbl>
    <w:p w14:paraId="697E11F6">
      <w:pPr>
        <w:pStyle w:val="9"/>
        <w:spacing w:beforeAutospacing="0" w:afterAutospacing="0" w:line="288" w:lineRule="auto"/>
        <w:jc w:val="both"/>
      </w:pPr>
    </w:p>
    <w:p w14:paraId="60145133">
      <w:pPr>
        <w:pStyle w:val="9"/>
        <w:numPr>
          <w:ilvl w:val="0"/>
          <w:numId w:val="5"/>
        </w:numPr>
        <w:spacing w:beforeAutospacing="0" w:afterAutospacing="0" w:line="288" w:lineRule="auto"/>
        <w:ind w:left="720"/>
        <w:jc w:val="both"/>
      </w:pPr>
      <w:r>
        <w:t>Annotatsiya matni rus/uzbek va ingliz tillarida taqdim etiladi — shrift oddiy, matn eni bo‘yicha tekislanadi, umumiy hajmi 1 sahifadan oshmasligi lozim; kalit so‘zlar rus va ingliz tillarida, 5 tadan oshmagan holda keltiriladi.</w:t>
      </w:r>
    </w:p>
    <w:p w14:paraId="258FE436">
      <w:pPr>
        <w:pStyle w:val="9"/>
        <w:numPr>
          <w:ilvl w:val="0"/>
          <w:numId w:val="5"/>
        </w:numPr>
        <w:spacing w:beforeAutospacing="0" w:afterAutospacing="0" w:line="288" w:lineRule="auto"/>
        <w:ind w:left="720"/>
        <w:jc w:val="both"/>
      </w:pPr>
      <w:r>
        <w:t xml:space="preserve">Maqola matni — shrift oddiy, matn eni bo‘yicha tekislanadi, qator oralig‘i — </w:t>
      </w:r>
      <w:r>
        <w:rPr>
          <w:rFonts w:hint="default"/>
          <w:lang w:val="en-US"/>
        </w:rPr>
        <w:t xml:space="preserve">1 </w:t>
      </w:r>
      <w:r>
        <w:t xml:space="preserve">interval, tili — rus yoki, uzbek yoki ingliz tili; sahifalarni raqamlash va giperhavolalar qo‘yish </w:t>
      </w:r>
      <w:r>
        <w:rPr>
          <w:rStyle w:val="8"/>
        </w:rPr>
        <w:t>taqiqlanadi</w:t>
      </w:r>
      <w:r>
        <w:t>.</w:t>
      </w:r>
    </w:p>
    <w:p w14:paraId="004DEFAD">
      <w:pPr>
        <w:pStyle w:val="9"/>
        <w:numPr>
          <w:ilvl w:val="0"/>
          <w:numId w:val="5"/>
        </w:numPr>
        <w:spacing w:beforeAutospacing="0" w:afterAutospacing="0" w:line="288" w:lineRule="auto"/>
        <w:ind w:left="720"/>
        <w:jc w:val="both"/>
      </w:pPr>
      <w:r>
        <w:t>Grafik materiallar (rasmlar, jadvallar, formulalar) skanerlashdan, rangli fondan va ramkalardan foydalanmagan holda taqdim etilishi lozim; diagrammalarni rasmiylashtirishda turli shtrixlash usullaridan foydalanish zarur, rangli rasmlar va grafiklardan foydalanish tavsiya etilmaydi. “Jadval” so‘zi tartib raqami bilan birga jadvalning yuqori qismida, o‘ng tomonda joylashtiriladi; “Jadval” so‘zidan keyingi qatorda jadval nomi qator markaziga joylashtiriladi. Rasmlarning raqami va nomi rasmning tagida joylashtiril</w:t>
      </w:r>
      <w:r>
        <w:rPr>
          <w:rFonts w:hint="default"/>
          <w:lang w:val="en-US"/>
        </w:rPr>
        <w:t>ib, avval rasmning raqami (1-rasm, 2-rasm… shaklida), so’ng nomi keltiriladi</w:t>
      </w:r>
      <w:bookmarkStart w:id="0" w:name="_GoBack"/>
      <w:bookmarkEnd w:id="0"/>
      <w:r>
        <w:t>. Formulalar MS Equation 3.0 yoki MathType formula muharririda terilishi lozim.</w:t>
      </w:r>
    </w:p>
    <w:p w14:paraId="24F6BC4B">
      <w:pPr>
        <w:pStyle w:val="9"/>
        <w:numPr>
          <w:ilvl w:val="0"/>
          <w:numId w:val="5"/>
        </w:numPr>
        <w:spacing w:beforeAutospacing="0" w:afterAutospacing="0" w:line="288" w:lineRule="auto"/>
        <w:ind w:left="720"/>
        <w:jc w:val="both"/>
      </w:pPr>
      <w:r>
        <w:t xml:space="preserve">Adabiyot manbalari matnda birinchi marta tilga olinish tartibiga muvofiq ketma-ket raqamlanadi, raqamlar </w:t>
      </w:r>
      <w:r>
        <w:rPr>
          <w:rStyle w:val="8"/>
        </w:rPr>
        <w:t>matnda</w:t>
      </w:r>
      <w:r>
        <w:t xml:space="preserve"> kvadrat qavslar ichida ko‘rsatiladi. Normativ-huquqiy hujjatlar, statistik materiallar va elektron resurslarga havolalar manbalar ro‘yxatiga </w:t>
      </w:r>
      <w:r>
        <w:rPr>
          <w:rStyle w:val="8"/>
        </w:rPr>
        <w:t>kiritilmaydi</w:t>
      </w:r>
      <w:r>
        <w:t>, zarur hollarda esa matnda qayd etiladi yoki sahifa osti izohi sifatida beriladi. Tavsiya etiladigan o‘z-o‘ziga iqtibos keltirish darajasi 25 foizdan oshmasligi lozim.</w:t>
      </w:r>
    </w:p>
    <w:p w14:paraId="219F0598">
      <w:pPr>
        <w:pStyle w:val="9"/>
        <w:numPr>
          <w:ilvl w:val="0"/>
          <w:numId w:val="5"/>
        </w:numPr>
        <w:spacing w:beforeAutospacing="0" w:afterAutospacing="0" w:line="288" w:lineRule="auto"/>
        <w:ind w:left="720"/>
        <w:jc w:val="both"/>
      </w:pPr>
      <w:r>
        <w:t>Foydalanilgan adabiyotlar ro‘yxati (</w:t>
      </w:r>
      <w:r>
        <w:rPr>
          <w:rStyle w:val="8"/>
        </w:rPr>
        <w:t>majburiy</w:t>
      </w:r>
      <w:r>
        <w:t>) — asosiy matndan keyin, oddiy shriftda va matn eni bo‘yicha tekislangan holda joylashtiriladi. Manbalar GOST R 7.0.5–2008 talablariga muvofiq rasmiylashtiriladi (</w:t>
      </w:r>
      <w:r>
        <w:fldChar w:fldCharType="begin"/>
      </w:r>
      <w:r>
        <w:instrText xml:space="preserve"> HYPERLINK "http://docs.cntd.ru/document/1200063713" </w:instrText>
      </w:r>
      <w:r>
        <w:fldChar w:fldCharType="separate"/>
      </w:r>
      <w:r>
        <w:rPr>
          <w:rStyle w:val="7"/>
        </w:rPr>
        <w:t>http://docs.cntd.ru/document/1200063713</w:t>
      </w:r>
      <w:r>
        <w:rPr>
          <w:rStyle w:val="7"/>
        </w:rPr>
        <w:fldChar w:fldCharType="end"/>
      </w:r>
      <w:r>
        <w:t>).</w:t>
      </w:r>
    </w:p>
    <w:p w14:paraId="31B6E344">
      <w:pPr>
        <w:pStyle w:val="9"/>
        <w:spacing w:beforeAutospacing="0" w:afterAutospacing="0" w:line="288" w:lineRule="auto"/>
        <w:jc w:val="both"/>
      </w:pPr>
    </w:p>
    <w:p w14:paraId="6148E34B">
      <w:pPr>
        <w:pStyle w:val="9"/>
        <w:spacing w:beforeAutospacing="0" w:afterAutospacing="0" w:line="288" w:lineRule="auto"/>
        <w:jc w:val="center"/>
        <w:rPr>
          <w:rStyle w:val="8"/>
        </w:rPr>
      </w:pPr>
      <w:r>
        <w:rPr>
          <w:rStyle w:val="8"/>
        </w:rPr>
        <w:t>MA’RUZALARGA QO‘YILADIGAN TALABLAR</w:t>
      </w:r>
    </w:p>
    <w:p w14:paraId="40283064">
      <w:pPr>
        <w:pStyle w:val="9"/>
        <w:spacing w:beforeAutospacing="0" w:afterAutospacing="0" w:line="288" w:lineRule="auto"/>
        <w:jc w:val="center"/>
        <w:rPr>
          <w:rStyle w:val="8"/>
        </w:rPr>
      </w:pPr>
    </w:p>
    <w:p w14:paraId="5E98A149">
      <w:pPr>
        <w:pStyle w:val="9"/>
        <w:numPr>
          <w:ilvl w:val="0"/>
          <w:numId w:val="6"/>
        </w:numPr>
        <w:spacing w:beforeAutospacing="0" w:afterAutospacing="0" w:line="288" w:lineRule="auto"/>
        <w:ind w:left="720"/>
      </w:pPr>
      <w:r>
        <w:t>Seksiyalar ishtirokchilarining ma’ruza davomiyligi 7–10 daqiqani, “Strategiyalashdagi ilk qadamlar” seksiyasi ishtirokchilari uchun esa 5–7 daqiqani tashkil etadi.</w:t>
      </w:r>
    </w:p>
    <w:p w14:paraId="4FD6316F">
      <w:pPr>
        <w:pStyle w:val="9"/>
        <w:numPr>
          <w:ilvl w:val="0"/>
          <w:numId w:val="6"/>
        </w:numPr>
        <w:spacing w:beforeAutospacing="0" w:afterAutospacing="0" w:line="288" w:lineRule="auto"/>
        <w:ind w:left="720"/>
      </w:pPr>
      <w:r>
        <w:t xml:space="preserve">“Strategiyalashdagi ilk qadamlar” seksiyasida </w:t>
      </w:r>
      <w:r>
        <w:rPr>
          <w:color w:val="FF0000"/>
        </w:rPr>
        <w:t xml:space="preserve">faqat ilmiy rahbar bilan birgalikda ishtirok etish </w:t>
      </w:r>
      <w:r>
        <w:t>mumkin. Ilmiy rahbar haqidagi ma’lumotlar maqola materiallarida ko‘rsatiladi (maqola sarlavhasiga berilgan izohda qayd etiladi).</w:t>
      </w:r>
    </w:p>
    <w:p w14:paraId="094E19D9">
      <w:pPr>
        <w:pStyle w:val="9"/>
        <w:numPr>
          <w:ilvl w:val="0"/>
          <w:numId w:val="6"/>
        </w:numPr>
        <w:spacing w:beforeAutospacing="0" w:afterAutospacing="0" w:line="288" w:lineRule="auto"/>
        <w:ind w:left="720"/>
      </w:pPr>
      <w:r>
        <w:t>Ma’ruza tanlangan seksiya mavzusiga va taqdim etilgan maqola mazmuniga muvofiq bo‘lishi lozim.</w:t>
      </w:r>
    </w:p>
    <w:p w14:paraId="26BC306E">
      <w:pPr>
        <w:pStyle w:val="9"/>
        <w:spacing w:beforeAutospacing="0" w:afterAutospacing="0" w:line="288" w:lineRule="auto"/>
        <w:jc w:val="center"/>
      </w:pPr>
      <w:r>
        <w:rPr>
          <w:rStyle w:val="8"/>
        </w:rPr>
        <w:t>KONFERENSIYADA ISHTIROK ETISH VA MATERIALLARNI NASHR ETISH</w:t>
      </w:r>
    </w:p>
    <w:p w14:paraId="414F1D7F">
      <w:pPr>
        <w:pStyle w:val="9"/>
        <w:numPr>
          <w:ilvl w:val="0"/>
          <w:numId w:val="6"/>
        </w:numPr>
        <w:spacing w:beforeAutospacing="0" w:afterAutospacing="0" w:line="288" w:lineRule="auto"/>
        <w:ind w:left="720"/>
      </w:pPr>
      <w:r>
        <w:t>Konferensiyada an’anaviy yoki masofaviy shaklda ishtirok etish nazarda tutiladi.</w:t>
      </w:r>
    </w:p>
    <w:p w14:paraId="31B0AA54">
      <w:pPr>
        <w:pStyle w:val="9"/>
        <w:numPr>
          <w:ilvl w:val="0"/>
          <w:numId w:val="6"/>
        </w:numPr>
        <w:spacing w:beforeAutospacing="0" w:afterAutospacing="0" w:line="288" w:lineRule="auto"/>
        <w:ind w:left="720"/>
      </w:pPr>
      <w:r>
        <w:t>Konferensiya yakunlariga ko‘ra, seksiyalar ishida an’anaviy yoki masofaviy shaklda ishtirok etgan qatnashchilarga ishtirokchi sertifikati beriladi.</w:t>
      </w:r>
    </w:p>
    <w:p w14:paraId="0802F552">
      <w:pPr>
        <w:pStyle w:val="9"/>
        <w:numPr>
          <w:ilvl w:val="0"/>
          <w:numId w:val="6"/>
        </w:numPr>
        <w:spacing w:beforeAutospacing="0" w:afterAutospacing="0" w:line="288" w:lineRule="auto"/>
        <w:ind w:left="720"/>
      </w:pPr>
      <w:r>
        <w:t>Belgilangan talablarga muvofiq bo‘lgan ishtirokchilar maqolalari konferensiya materiallari to‘plamiga kiritiladi.</w:t>
      </w:r>
    </w:p>
    <w:p w14:paraId="4E9D67F0">
      <w:pPr>
        <w:pStyle w:val="9"/>
        <w:numPr>
          <w:ilvl w:val="0"/>
          <w:numId w:val="6"/>
        </w:numPr>
        <w:spacing w:beforeAutospacing="0" w:afterAutospacing="0" w:line="288" w:lineRule="auto"/>
        <w:ind w:left="720"/>
      </w:pPr>
      <w:r>
        <w:rPr>
          <w:rStyle w:val="8"/>
        </w:rPr>
        <w:t>Konferensiya ishida an’anaviy yoki masofaviy shaklda ishtirok etmagan mualliflarning maqolalari konferensiya materiallari to‘plamiga kiritilmaydi.</w:t>
      </w:r>
    </w:p>
    <w:p w14:paraId="618F4F52">
      <w:pPr>
        <w:pStyle w:val="9"/>
        <w:spacing w:beforeAutospacing="0" w:afterAutospacing="0" w:line="288" w:lineRule="auto"/>
        <w:ind w:left="720"/>
      </w:pPr>
    </w:p>
    <w:p w14:paraId="58610656">
      <w:pPr>
        <w:pStyle w:val="9"/>
        <w:spacing w:beforeAutospacing="0" w:afterAutospacing="0" w:line="288" w:lineRule="auto"/>
        <w:ind w:left="720"/>
        <w:rPr>
          <w:color w:val="FF0000"/>
        </w:rPr>
      </w:pPr>
      <w:r>
        <w:rPr>
          <w:color w:val="FF0000"/>
        </w:rPr>
        <w:t>Talablarga rioya qilinmagan taqdirda tashkilotchi maqolani to‘plamga joylashtirishni rad etish huquqiga ega!</w:t>
      </w:r>
    </w:p>
    <w:p w14:paraId="4963DE7C">
      <w:pPr>
        <w:pStyle w:val="9"/>
        <w:spacing w:beforeAutospacing="0" w:afterAutospacing="0" w:line="288" w:lineRule="auto"/>
        <w:ind w:left="720"/>
        <w:rPr>
          <w:color w:val="FF0000"/>
        </w:rPr>
      </w:pPr>
    </w:p>
    <w:p w14:paraId="6482B224">
      <w:pPr>
        <w:pStyle w:val="9"/>
        <w:spacing w:beforeAutospacing="0" w:afterAutospacing="0" w:line="288" w:lineRule="auto"/>
        <w:jc w:val="center"/>
      </w:pPr>
      <w:r>
        <w:rPr>
          <w:rStyle w:val="8"/>
        </w:rPr>
        <w:t xml:space="preserve">Ilmiy maqolalarni yuborish uchun elektron pochta manzili — </w:t>
      </w:r>
      <w:r>
        <w:fldChar w:fldCharType="begin"/>
      </w:r>
      <w:r>
        <w:instrText xml:space="preserve"> HYPERLINK "mailto:caus_mse@mail.ru" </w:instrText>
      </w:r>
      <w:r>
        <w:fldChar w:fldCharType="separate"/>
      </w:r>
      <w:r>
        <w:rPr>
          <w:rStyle w:val="7"/>
          <w:b/>
          <w:bCs/>
        </w:rPr>
        <w:t>caus_mse@mail.ru</w:t>
      </w:r>
      <w:r>
        <w:rPr>
          <w:rStyle w:val="7"/>
          <w:b/>
          <w:bCs/>
        </w:rPr>
        <w:fldChar w:fldCharType="end"/>
      </w:r>
    </w:p>
    <w:p w14:paraId="3E9F3FDB">
      <w:pPr>
        <w:pStyle w:val="9"/>
        <w:spacing w:beforeAutospacing="0" w:afterAutospacing="0" w:line="288" w:lineRule="auto"/>
        <w:jc w:val="both"/>
      </w:pPr>
    </w:p>
    <w:p w14:paraId="4D521582">
      <w:pPr>
        <w:pStyle w:val="11"/>
        <w:jc w:val="center"/>
        <w:rPr>
          <w:rStyle w:val="7"/>
          <w:rFonts w:ascii="Times New Roman" w:hAnsi="Times New Roman" w:cs="Times New Roman"/>
          <w:b/>
          <w:sz w:val="26"/>
          <w:szCs w:val="26"/>
          <w:lang w:val="uz-Cyrl-UZ"/>
        </w:rPr>
      </w:pPr>
    </w:p>
    <w:sectPr>
      <w:pgSz w:w="11906" w:h="16838"/>
      <w:pgMar w:top="988"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9B6E"/>
    <w:multiLevelType w:val="singleLevel"/>
    <w:tmpl w:val="CD939B6E"/>
    <w:lvl w:ilvl="0" w:tentative="0">
      <w:start w:val="1"/>
      <w:numFmt w:val="decimal"/>
      <w:suff w:val="space"/>
      <w:lvlText w:val="%1."/>
      <w:lvlJc w:val="left"/>
      <w:rPr>
        <w:rFonts w:hint="default"/>
        <w:color w:val="auto"/>
      </w:rPr>
    </w:lvl>
  </w:abstractNum>
  <w:abstractNum w:abstractNumId="1">
    <w:nsid w:val="F9257DF9"/>
    <w:multiLevelType w:val="singleLevel"/>
    <w:tmpl w:val="F9257DF9"/>
    <w:lvl w:ilvl="0" w:tentative="0">
      <w:start w:val="1"/>
      <w:numFmt w:val="decimal"/>
      <w:suff w:val="space"/>
      <w:lvlText w:val="%1."/>
      <w:lvlJc w:val="left"/>
    </w:lvl>
  </w:abstractNum>
  <w:abstractNum w:abstractNumId="2">
    <w:nsid w:val="0A763CA2"/>
    <w:multiLevelType w:val="singleLevel"/>
    <w:tmpl w:val="0A763CA2"/>
    <w:lvl w:ilvl="0" w:tentative="0">
      <w:start w:val="1"/>
      <w:numFmt w:val="decimal"/>
      <w:suff w:val="space"/>
      <w:lvlText w:val="%1."/>
      <w:lvlJc w:val="left"/>
    </w:lvl>
  </w:abstractNum>
  <w:abstractNum w:abstractNumId="3">
    <w:nsid w:val="45D536EC"/>
    <w:multiLevelType w:val="multilevel"/>
    <w:tmpl w:val="45D536E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8ED505C"/>
    <w:multiLevelType w:val="multilevel"/>
    <w:tmpl w:val="58ED505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7D45F64"/>
    <w:multiLevelType w:val="multilevel"/>
    <w:tmpl w:val="77D45F6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F08"/>
    <w:rsid w:val="00013E85"/>
    <w:rsid w:val="000231BD"/>
    <w:rsid w:val="00065242"/>
    <w:rsid w:val="000905CE"/>
    <w:rsid w:val="0009749D"/>
    <w:rsid w:val="000A013F"/>
    <w:rsid w:val="000F5DC2"/>
    <w:rsid w:val="00101CA1"/>
    <w:rsid w:val="0010509B"/>
    <w:rsid w:val="00124BD2"/>
    <w:rsid w:val="0013074B"/>
    <w:rsid w:val="00135CC2"/>
    <w:rsid w:val="00160B07"/>
    <w:rsid w:val="001B604C"/>
    <w:rsid w:val="001F7912"/>
    <w:rsid w:val="00231DD0"/>
    <w:rsid w:val="0023445B"/>
    <w:rsid w:val="002658E2"/>
    <w:rsid w:val="002A4B2E"/>
    <w:rsid w:val="002B4E3E"/>
    <w:rsid w:val="002C4CE6"/>
    <w:rsid w:val="00310CCE"/>
    <w:rsid w:val="003312D5"/>
    <w:rsid w:val="00333285"/>
    <w:rsid w:val="00364E5D"/>
    <w:rsid w:val="00371834"/>
    <w:rsid w:val="00412CF2"/>
    <w:rsid w:val="00426361"/>
    <w:rsid w:val="0044287F"/>
    <w:rsid w:val="00444AC9"/>
    <w:rsid w:val="004676BF"/>
    <w:rsid w:val="004874DF"/>
    <w:rsid w:val="004975FB"/>
    <w:rsid w:val="004A5024"/>
    <w:rsid w:val="004C62E3"/>
    <w:rsid w:val="00505A43"/>
    <w:rsid w:val="0053571E"/>
    <w:rsid w:val="00537E1B"/>
    <w:rsid w:val="00553191"/>
    <w:rsid w:val="00561730"/>
    <w:rsid w:val="00571CE2"/>
    <w:rsid w:val="005A3FB4"/>
    <w:rsid w:val="005C4A59"/>
    <w:rsid w:val="005C7DC8"/>
    <w:rsid w:val="005F0598"/>
    <w:rsid w:val="005F4A6F"/>
    <w:rsid w:val="0060364D"/>
    <w:rsid w:val="00620D86"/>
    <w:rsid w:val="00623A33"/>
    <w:rsid w:val="00632869"/>
    <w:rsid w:val="00647919"/>
    <w:rsid w:val="00657AED"/>
    <w:rsid w:val="00663BD9"/>
    <w:rsid w:val="006A09DC"/>
    <w:rsid w:val="006E4839"/>
    <w:rsid w:val="00717D5B"/>
    <w:rsid w:val="0072399C"/>
    <w:rsid w:val="00732A74"/>
    <w:rsid w:val="00771579"/>
    <w:rsid w:val="0077510B"/>
    <w:rsid w:val="007D672F"/>
    <w:rsid w:val="008112AB"/>
    <w:rsid w:val="0084717D"/>
    <w:rsid w:val="00870425"/>
    <w:rsid w:val="008768F8"/>
    <w:rsid w:val="008D66EF"/>
    <w:rsid w:val="008F6755"/>
    <w:rsid w:val="00915193"/>
    <w:rsid w:val="00942BBE"/>
    <w:rsid w:val="00953F1E"/>
    <w:rsid w:val="00971D87"/>
    <w:rsid w:val="009C78C3"/>
    <w:rsid w:val="009D7EA5"/>
    <w:rsid w:val="009E4415"/>
    <w:rsid w:val="009F6342"/>
    <w:rsid w:val="00A03774"/>
    <w:rsid w:val="00A77BC1"/>
    <w:rsid w:val="00A80A39"/>
    <w:rsid w:val="00A91B5D"/>
    <w:rsid w:val="00AA426D"/>
    <w:rsid w:val="00AA57B8"/>
    <w:rsid w:val="00AB39DD"/>
    <w:rsid w:val="00AE0FC9"/>
    <w:rsid w:val="00B15E01"/>
    <w:rsid w:val="00B30723"/>
    <w:rsid w:val="00B30AFA"/>
    <w:rsid w:val="00B7619F"/>
    <w:rsid w:val="00B821A9"/>
    <w:rsid w:val="00B865E7"/>
    <w:rsid w:val="00BC529E"/>
    <w:rsid w:val="00C623DB"/>
    <w:rsid w:val="00CC2A2A"/>
    <w:rsid w:val="00CD7680"/>
    <w:rsid w:val="00CF5B35"/>
    <w:rsid w:val="00D76D3B"/>
    <w:rsid w:val="00DA71F3"/>
    <w:rsid w:val="00DF2511"/>
    <w:rsid w:val="00E05F84"/>
    <w:rsid w:val="00E35125"/>
    <w:rsid w:val="00E64F08"/>
    <w:rsid w:val="00EC39E2"/>
    <w:rsid w:val="00EE102D"/>
    <w:rsid w:val="00EF4D0D"/>
    <w:rsid w:val="00F339BC"/>
    <w:rsid w:val="00F6758F"/>
    <w:rsid w:val="00FC483A"/>
    <w:rsid w:val="00FE5A10"/>
    <w:rsid w:val="03223A5F"/>
    <w:rsid w:val="03736735"/>
    <w:rsid w:val="1D7F1408"/>
    <w:rsid w:val="3BA42D4D"/>
    <w:rsid w:val="4F0A3E3B"/>
    <w:rsid w:val="58831026"/>
    <w:rsid w:val="6E1E360E"/>
    <w:rsid w:val="6F4277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link w:val="13"/>
    <w:qFormat/>
    <w:uiPriority w:val="1"/>
    <w:pPr>
      <w:widowControl w:val="0"/>
      <w:autoSpaceDE w:val="0"/>
      <w:autoSpaceDN w:val="0"/>
      <w:spacing w:before="76" w:after="0" w:line="240" w:lineRule="auto"/>
      <w:ind w:left="12" w:right="16"/>
      <w:jc w:val="both"/>
      <w:outlineLvl w:val="0"/>
    </w:pPr>
    <w:rPr>
      <w:rFonts w:ascii="Times New Roman" w:hAnsi="Times New Roman" w:eastAsia="Times New Roman" w:cs="Times New Roman"/>
      <w:b/>
      <w:bCs/>
      <w:sz w:val="24"/>
      <w:szCs w:val="24"/>
      <w:lang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Emphasis"/>
    <w:basedOn w:val="3"/>
    <w:qFormat/>
    <w:uiPriority w:val="20"/>
    <w:rPr>
      <w:i/>
      <w:iCs/>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character" w:styleId="8">
    <w:name w:val="Strong"/>
    <w:basedOn w:val="3"/>
    <w:qFormat/>
    <w:uiPriority w:val="22"/>
    <w:rPr>
      <w:b/>
      <w:bCs/>
    </w:rPr>
  </w:style>
  <w:style w:type="paragraph" w:styleId="9">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table" w:styleId="10">
    <w:name w:val="Table Grid"/>
    <w:basedOn w:val="4"/>
    <w:qFormat/>
    <w:uiPriority w:val="39"/>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ind w:left="720"/>
      <w:contextualSpacing/>
    </w:pPr>
  </w:style>
  <w:style w:type="paragraph" w:customStyle="1" w:styleId="12">
    <w:name w:val="Default"/>
    <w:qFormat/>
    <w:uiPriority w:val="0"/>
    <w:pPr>
      <w:autoSpaceDE w:val="0"/>
      <w:autoSpaceDN w:val="0"/>
      <w:adjustRightInd w:val="0"/>
    </w:pPr>
    <w:rPr>
      <w:rFonts w:ascii="Times New Roman" w:hAnsi="Times New Roman" w:cs="Times New Roman" w:eastAsiaTheme="minorHAnsi"/>
      <w:color w:val="000000"/>
      <w:sz w:val="24"/>
      <w:szCs w:val="24"/>
      <w:lang w:val="ru-RU" w:eastAsia="en-US" w:bidi="ar-SA"/>
    </w:rPr>
  </w:style>
  <w:style w:type="character" w:customStyle="1" w:styleId="13">
    <w:name w:val="Заголовок 1 Знак"/>
    <w:basedOn w:val="3"/>
    <w:link w:val="2"/>
    <w:qFormat/>
    <w:uiPriority w:val="1"/>
    <w:rPr>
      <w:rFonts w:ascii="Times New Roman" w:hAnsi="Times New Roman" w:eastAsia="Times New Roman" w:cs="Times New Roman"/>
      <w:b/>
      <w:bCs/>
      <w:sz w:val="24"/>
      <w:szCs w:val="24"/>
      <w:lang w:eastAsia="en-US"/>
    </w:rPr>
  </w:style>
  <w:style w:type="paragraph" w:customStyle="1" w:styleId="14">
    <w:name w:val="isselectedend"/>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1337</Words>
  <Characters>9842</Characters>
  <Lines>80</Lines>
  <Paragraphs>22</Paragraphs>
  <TotalTime>10</TotalTime>
  <ScaleCrop>false</ScaleCrop>
  <LinksUpToDate>false</LinksUpToDate>
  <CharactersWithSpaces>11112</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2026-09-08T17:27:00Z</dcterms:created>
  <dc:creator>infernal mister</dc:creator>
  <cp:lastModifiedBy>WPS_1634645983</cp:lastModifiedBy>
  <dcterms:modified xsi:type="dcterms:W3CDTF">2026-09-09T07:09:08Z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eyJoZGlkIjoiZWMzYWM3Mjk4OTY2Y2U5MTM2YTU3NTc0NzJhZTM1N2UiLCJ1c2VySWQiOiI4ODEzNTY3MzQwMDg5In0=</vt:lpwstr>
  </property>
  <property fmtid="{D5CDD505-2E9C-101B-9397-08002B2CF9AE}" pid="3" name="KSOProductBuildVer">
    <vt:lpwstr>1049-12.1.0.27458</vt:lpwstr>
  </property>
  <property fmtid="{D5CDD505-2E9C-101B-9397-08002B2CF9AE}" pid="4" name="ICV">
    <vt:lpwstr>3B81920507B548509E76160CCE9DC49C_12</vt:lpwstr>
  </property>
</Properties>
</file>